
<file path=[Content_Types].xml><?xml version="1.0" encoding="utf-8"?>
<Types xmlns="http://schemas.openxmlformats.org/package/2006/content-types">
  <Override PartName="/_rels/.rels" ContentType="application/vnd.openxmlformats-package.relationships+xml"/>
  <Override PartName="/word/fontTable.xml" ContentType="application/vnd.openxmlformats-officedocument.wordprocessingml.fontTable+xml"/>
  <Override PartName="/word/numbering.xml" ContentType="application/vnd.openxmlformats-officedocument.wordprocessingml.numbering+xml"/>
  <Override PartName="/word/footer1.xml" ContentType="application/vnd.openxmlformats-officedocument.wordprocessingml.footer+xml"/>
  <Override PartName="/word/document.xml" ContentType="application/vnd.openxmlformats-officedocument.wordprocessingml.document.main+xml"/>
  <Override PartName="/word/styles.xml" ContentType="application/vnd.openxmlformats-officedocument.wordprocessingml.styles+xml"/>
  <Override PartName="/word/_rels/document.xml.rels" ContentType="application/vnd.openxmlformats-package.relationships+xml"/>
  <Override PartName="/word/settings.xml" ContentType="application/vnd.openxmlformats-officedocument.wordprocessingml.settings+xml"/>
  <Override PartName="/word/media/image4.png" ContentType="image/png"/>
  <Override PartName="/word/media/image3.png" ContentType="image/png"/>
  <Override PartName="/word/media/image2.png" ContentType="image/png"/>
  <Override PartName="/word/media/image1.png" ContentType="image/png"/>
  <Override PartName="/word/header1.xml" ContentType="application/vnd.openxmlformats-officedocument.wordprocessingml.header+xml"/>
  <Override PartName="/docProps/custom.xml" ContentType="application/vnd.openxmlformats-officedocument.custom-properties+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ackground w:color="FFFFFF"/>
  <w:body>
    <w:p>
      <w:pPr>
        <w:pStyle w:val="Title"/>
        <w:spacing w:before="240" w:after="120"/>
        <w:rPr>
          <w:rFonts w:ascii="Lato" w:hAnsi="Lato"/>
          <w:b w:val="false"/>
          <w:b w:val="false"/>
          <w:bCs w:val="false"/>
        </w:rPr>
      </w:pPr>
      <w:r>
        <w:rPr>
          <w:rFonts w:ascii="Lato" w:hAnsi="Lato"/>
          <w:b w:val="false"/>
          <w:bCs w:val="false"/>
          <w:color w:val="000000"/>
          <w:sz w:val="30"/>
          <w:szCs w:val="30"/>
        </w:rPr>
        <w:t xml:space="preserve">epitopepredict: </w:t>
      </w:r>
      <w:r>
        <w:rPr>
          <w:rFonts w:eastAsia="Lohit Hindi" w:cs="Lohit Hindi" w:ascii="Lato" w:hAnsi="Lato"/>
          <w:b w:val="false"/>
          <w:bCs w:val="false"/>
          <w:color w:val="000000"/>
          <w:sz w:val="30"/>
          <w:szCs w:val="30"/>
          <w:lang w:val="en-GB" w:eastAsia="zh-CN" w:bidi="hi-IN"/>
        </w:rPr>
        <w:t>A t</w:t>
      </w:r>
      <w:r>
        <w:rPr>
          <w:rFonts w:ascii="Lato" w:hAnsi="Lato"/>
          <w:b w:val="false"/>
          <w:bCs w:val="false"/>
          <w:color w:val="000000"/>
          <w:sz w:val="30"/>
          <w:szCs w:val="30"/>
        </w:rPr>
        <w:t>ool for integrated MHC binding prediction</w:t>
      </w:r>
    </w:p>
    <w:p>
      <w:pPr>
        <w:pStyle w:val="Normal"/>
        <w:spacing w:lineRule="auto" w:line="276"/>
        <w:rPr>
          <w:rFonts w:eastAsia="Calibri" w:cs="Times New Roman"/>
          <w:color w:val="000000"/>
          <w:sz w:val="22"/>
          <w:szCs w:val="22"/>
        </w:rPr>
      </w:pPr>
      <w:r>
        <w:rPr/>
      </w:r>
    </w:p>
    <w:p>
      <w:pPr>
        <w:pStyle w:val="Normal"/>
        <w:spacing w:lineRule="auto" w:line="276"/>
        <w:rPr/>
      </w:pPr>
      <w:r>
        <w:rPr>
          <w:rFonts w:eastAsia="Calibri" w:cs="Times New Roman"/>
          <w:color w:val="000000"/>
          <w:sz w:val="22"/>
          <w:szCs w:val="22"/>
        </w:rPr>
        <w:t xml:space="preserve">Damien Farrell </w:t>
      </w:r>
      <w:r>
        <w:rPr>
          <w:rFonts w:eastAsia="Calibri" w:cs="Times New Roman"/>
          <w:color w:val="000000"/>
          <w:sz w:val="22"/>
          <w:szCs w:val="22"/>
        </w:rPr>
        <w:t>&lt;</w:t>
      </w:r>
      <w:r>
        <w:rPr>
          <w:rFonts w:eastAsia="Calibri" w:cs="Times New Roman"/>
          <w:color w:val="000000"/>
          <w:sz w:val="22"/>
          <w:szCs w:val="22"/>
        </w:rPr>
        <w:t>farrell.damien@gmail.com</w:t>
      </w:r>
      <w:r>
        <w:rPr>
          <w:rFonts w:eastAsia="Calibri" w:cs="Times New Roman"/>
          <w:color w:val="000000"/>
          <w:sz w:val="22"/>
          <w:szCs w:val="22"/>
        </w:rPr>
        <w:t>&gt;</w:t>
      </w:r>
      <w:r>
        <w:rPr>
          <w:rFonts w:eastAsia="Calibri" w:cs="Times New Roman"/>
          <w:color w:val="000000"/>
          <w:sz w:val="22"/>
          <w:szCs w:val="22"/>
          <w:vertAlign w:val="superscript"/>
        </w:rPr>
        <w:t>1</w:t>
      </w:r>
    </w:p>
    <w:p>
      <w:pPr>
        <w:pStyle w:val="Normal"/>
        <w:spacing w:lineRule="auto" w:line="276"/>
        <w:rPr>
          <w:rFonts w:ascii="Lato" w:hAnsi="Lato" w:eastAsia="Calibri" w:cs="Times New Roman"/>
          <w:color w:val="000000"/>
          <w:sz w:val="22"/>
          <w:szCs w:val="22"/>
        </w:rPr>
      </w:pPr>
      <w:r>
        <w:rPr>
          <w:rFonts w:eastAsia="Calibri" w:cs="Times New Roman"/>
          <w:color w:val="000000"/>
          <w:sz w:val="22"/>
          <w:szCs w:val="22"/>
        </w:rPr>
      </w:r>
    </w:p>
    <w:p>
      <w:pPr>
        <w:pStyle w:val="Normal"/>
        <w:spacing w:lineRule="auto" w:line="276"/>
        <w:rPr/>
      </w:pPr>
      <w:r>
        <w:rPr>
          <w:rFonts w:eastAsia="Calibri" w:cs="Times New Roman"/>
          <w:color w:val="000000"/>
          <w:sz w:val="22"/>
          <w:szCs w:val="22"/>
          <w:vertAlign w:val="superscript"/>
        </w:rPr>
        <w:t>1</w:t>
      </w:r>
      <w:r>
        <w:rPr>
          <w:rFonts w:eastAsia="Calibri" w:cs="Times New Roman"/>
          <w:color w:val="000000"/>
          <w:sz w:val="22"/>
          <w:szCs w:val="22"/>
        </w:rPr>
        <w:t>UCD School of Veterinary Medicine, University College Dublin, Ireland.</w:t>
      </w:r>
    </w:p>
    <w:p>
      <w:pPr>
        <w:pStyle w:val="Normal"/>
        <w:spacing w:lineRule="auto" w:line="276"/>
        <w:rPr>
          <w:rFonts w:ascii="Lato" w:hAnsi="Lato" w:cs="Times New Roman"/>
          <w:b/>
          <w:b/>
          <w:color w:val="000000"/>
          <w:sz w:val="22"/>
          <w:szCs w:val="22"/>
        </w:rPr>
      </w:pPr>
      <w:r>
        <w:rPr>
          <w:rFonts w:cs="Times New Roman"/>
          <w:b/>
          <w:color w:val="000000"/>
          <w:sz w:val="22"/>
          <w:szCs w:val="22"/>
        </w:rPr>
      </w:r>
    </w:p>
    <w:p>
      <w:pPr>
        <w:pStyle w:val="Normal"/>
        <w:numPr>
          <w:ilvl w:val="3"/>
          <w:numId w:val="2"/>
        </w:numPr>
        <w:jc w:val="left"/>
        <w:rPr>
          <w:b/>
          <w:b/>
          <w:bCs/>
        </w:rPr>
      </w:pPr>
      <w:r>
        <w:rPr>
          <w:b/>
          <w:bCs/>
        </w:rPr>
        <w:t>Abstract</w:t>
      </w:r>
    </w:p>
    <w:p>
      <w:pPr>
        <w:pStyle w:val="Normal"/>
        <w:suppressAutoHyphens w:val="false"/>
        <w:spacing w:lineRule="auto" w:line="360" w:before="57" w:after="257"/>
        <w:jc w:val="both"/>
        <w:rPr/>
      </w:pPr>
      <w:r>
        <w:rPr>
          <w:rFonts w:eastAsia="Calibri" w:cs="Times New Roman"/>
          <w:b w:val="false"/>
          <w:bCs w:val="false"/>
          <w:color w:val="000000"/>
          <w:sz w:val="22"/>
          <w:szCs w:val="22"/>
        </w:rPr>
        <w:t xml:space="preserve">A key step in the cellular adaptive immune response is the presentation of antigen to T cells. During this process short peptides processed from self or foreign proteins may be presented on the surface bound to MHC molecules for binding to T cell receptors. Those that bind and activate an immune response are called epitopes. Computational prediction of T cell epitopes has many applications in vaccine design and immuno-diagnostics. This is the basis of immunoinformatics which allows in silico screening of peptides before experiments are performed. The most effective  approach is to estimate the binding affinity of a given peptide fragment to </w:t>
      </w:r>
      <w:bookmarkStart w:id="0" w:name="__DdeLink__851_972450461"/>
      <w:r>
        <w:rPr>
          <w:rFonts w:eastAsia="Calibri" w:cs="Times New Roman"/>
          <w:b w:val="false"/>
          <w:bCs w:val="false"/>
          <w:color w:val="000000"/>
          <w:sz w:val="22"/>
          <w:szCs w:val="22"/>
        </w:rPr>
        <w:t>MHC class I or II molecules</w:t>
      </w:r>
      <w:bookmarkEnd w:id="0"/>
      <w:r>
        <w:rPr>
          <w:rFonts w:eastAsia="Calibri" w:cs="Times New Roman"/>
          <w:b w:val="false"/>
          <w:bCs w:val="false"/>
          <w:color w:val="000000"/>
          <w:sz w:val="22"/>
          <w:szCs w:val="22"/>
        </w:rPr>
        <w:t xml:space="preserve">. With the availability of whole genomes for many microbial species it is now feasible to computationally screen whole proteomes for candidate peptides. epitopepredict is a programmatic framework and command line tool designed to aid this process. It provides access to multiple binding prediction algorithms under a single interface and scales for whole genomes using multiple target MHC alleles. A web interface is provided to assist visualisation and filtering of the results. The software is freely available under an open source license from </w:t>
      </w:r>
      <w:hyperlink r:id="rId2">
        <w:r>
          <w:rPr>
            <w:rStyle w:val="InternetLink"/>
            <w:rFonts w:eastAsia="Calibri" w:cs="Times New Roman"/>
            <w:b w:val="false"/>
            <w:bCs w:val="false"/>
            <w:sz w:val="22"/>
            <w:szCs w:val="22"/>
          </w:rPr>
          <w:t>https://github.com/dmnfarrell/epitopepredict</w:t>
        </w:r>
      </w:hyperlink>
      <w:hyperlink r:id="rId3">
        <w:r>
          <w:rPr>
            <w:rStyle w:val="InternetLink"/>
            <w:rFonts w:eastAsia="Calibri" w:cs="Times New Roman"/>
            <w:b w:val="false"/>
            <w:bCs w:val="false"/>
            <w:sz w:val="22"/>
            <w:szCs w:val="22"/>
          </w:rPr>
          <w:t>.</w:t>
        </w:r>
      </w:hyperlink>
    </w:p>
    <w:p>
      <w:pPr>
        <w:pStyle w:val="Normal"/>
        <w:suppressAutoHyphens w:val="false"/>
        <w:spacing w:lineRule="auto" w:line="360" w:before="57" w:after="257"/>
        <w:jc w:val="both"/>
        <w:rPr/>
      </w:pPr>
      <w:r>
        <w:rPr>
          <w:rStyle w:val="InternetLink"/>
          <w:rFonts w:eastAsia="Calibri" w:cs="Times New Roman"/>
          <w:b/>
          <w:bCs/>
          <w:color w:val="auto"/>
          <w:sz w:val="22"/>
          <w:szCs w:val="22"/>
          <w:u w:val="none"/>
        </w:rPr>
        <w:t>Keywords</w:t>
      </w:r>
      <w:r>
        <w:rPr>
          <w:rStyle w:val="InternetLink"/>
          <w:rFonts w:eastAsia="Calibri" w:cs="Times New Roman"/>
          <w:b w:val="false"/>
          <w:bCs w:val="false"/>
          <w:color w:val="auto"/>
          <w:sz w:val="22"/>
          <w:szCs w:val="22"/>
          <w:u w:val="none"/>
        </w:rPr>
        <w:t>: MHC-binding; immunoinformatics; antigen; epitope; T-cell</w:t>
      </w:r>
    </w:p>
    <w:p>
      <w:pPr>
        <w:pStyle w:val="Heading1"/>
        <w:rPr/>
      </w:pPr>
      <w:r>
        <w:rPr/>
        <w:t>Background</w:t>
      </w:r>
    </w:p>
    <w:p>
      <w:pPr>
        <w:pStyle w:val="Normal"/>
        <w:suppressAutoHyphens w:val="false"/>
        <w:spacing w:lineRule="auto" w:line="360" w:before="0" w:after="200"/>
        <w:jc w:val="both"/>
        <w:rPr>
          <w:rFonts w:ascii="Lato" w:hAnsi="Lato"/>
          <w:color w:val="000000"/>
        </w:rPr>
      </w:pPr>
      <w:r>
        <w:rPr>
          <w:rFonts w:eastAsia="Calibri" w:cs="Times New Roman"/>
          <w:b w:val="false"/>
          <w:bCs w:val="false"/>
          <w:i w:val="false"/>
          <w:caps w:val="false"/>
          <w:smallCaps w:val="false"/>
          <w:color w:val="101010"/>
          <w:spacing w:val="0"/>
          <w:sz w:val="22"/>
          <w:szCs w:val="22"/>
        </w:rPr>
        <w:t xml:space="preserve">An essential step in provoking adaptive immunity, delivered by the activated CD8+ or CD4+ T cells, is the recognition of T cell receptor (TCR) to T cell epitopes. </w:t>
      </w:r>
      <w:r>
        <w:rPr>
          <w:rFonts w:eastAsia="Calibri" w:cs="Times New Roman"/>
          <w:b w:val="false"/>
          <w:bCs w:val="false"/>
          <w:i w:val="false"/>
          <w:iCs w:val="false"/>
          <w:caps w:val="false"/>
          <w:smallCaps w:val="false"/>
          <w:color w:val="2D2D2D"/>
          <w:spacing w:val="0"/>
          <w:sz w:val="22"/>
          <w:szCs w:val="22"/>
          <w:u w:val="none"/>
        </w:rPr>
        <w:t>The ‘epitope’ is the peptide-MHC combination resulting from t</w:t>
      </w:r>
      <w:r>
        <w:rPr>
          <w:rFonts w:eastAsia="Calibri" w:cs="Times New Roman"/>
          <w:b w:val="false"/>
          <w:bCs w:val="false"/>
          <w:i w:val="false"/>
          <w:caps w:val="false"/>
          <w:smallCaps w:val="false"/>
          <w:color w:val="101010"/>
          <w:spacing w:val="0"/>
          <w:sz w:val="22"/>
          <w:szCs w:val="22"/>
        </w:rPr>
        <w:t xml:space="preserve">he </w:t>
      </w:r>
      <w:r>
        <w:rPr>
          <w:b w:val="false"/>
          <w:i w:val="false"/>
          <w:caps w:val="false"/>
          <w:smallCaps w:val="false"/>
          <w:color w:val="101010"/>
          <w:spacing w:val="0"/>
          <w:sz w:val="22"/>
          <w:szCs w:val="22"/>
        </w:rPr>
        <w:t>binding of antigenic peptides to MHC proteins. This is the major determinant step and is computationally predictable.</w:t>
      </w:r>
      <w:r>
        <w:rPr>
          <w:rFonts w:eastAsia="Calibri" w:cs="Times New Roman"/>
          <w:b w:val="false"/>
          <w:bCs w:val="false"/>
          <w:i w:val="false"/>
          <w:caps w:val="false"/>
          <w:smallCaps w:val="false"/>
          <w:color w:val="101010"/>
          <w:spacing w:val="0"/>
          <w:sz w:val="22"/>
          <w:szCs w:val="22"/>
        </w:rPr>
        <w:t xml:space="preserve"> Algorithms that can identify MHC-class I ot MHC-class II binding peptides rapidly and accurately are essential in for vaccine development, neo-epitope discovery  and immunogenicity screening of protein thereputics.</w:t>
      </w:r>
      <w:r>
        <w:rPr>
          <w:rFonts w:eastAsia="Calibri" w:cs="Times New Roman"/>
          <w:b w:val="false"/>
          <w:bCs w:val="false"/>
          <w:i w:val="false"/>
          <w:caps w:val="false"/>
          <w:smallCaps w:val="false"/>
          <w:color w:val="101010"/>
          <w:spacing w:val="0"/>
          <w:sz w:val="19"/>
          <w:szCs w:val="22"/>
        </w:rPr>
        <w:t xml:space="preserve"> </w:t>
      </w:r>
      <w:r>
        <w:rPr>
          <w:rFonts w:eastAsia="Calibri" w:cs="Times New Roman"/>
          <w:b w:val="false"/>
          <w:bCs w:val="false"/>
          <w:color w:val="000000"/>
          <w:sz w:val="22"/>
          <w:szCs w:val="22"/>
        </w:rPr>
        <w:t xml:space="preserve">Many MHC binding prediction methods exist for both class I and II and have been comprehensively reviewed </w:t>
      </w:r>
      <w:r>
        <w:rPr>
          <w:rFonts w:eastAsia="Calibri" w:cs="Times New Roman"/>
          <w:b w:val="false"/>
          <w:bCs w:val="false"/>
          <w:color w:val="000000"/>
          <w:position w:val="0"/>
          <w:sz w:val="22"/>
          <w:sz w:val="22"/>
          <w:szCs w:val="22"/>
          <w:vertAlign w:val="baseline"/>
        </w:rPr>
        <w:t>[1]</w:t>
      </w:r>
      <w:r>
        <w:rPr>
          <w:rFonts w:eastAsia="Calibri" w:cs="Times New Roman"/>
          <w:b w:val="false"/>
          <w:bCs w:val="false"/>
          <w:color w:val="000000"/>
          <w:sz w:val="22"/>
          <w:szCs w:val="22"/>
        </w:rPr>
        <w:t xml:space="preserve">⁠. Currently the most effective are </w:t>
      </w:r>
      <w:r>
        <w:rPr>
          <w:rFonts w:eastAsia="Calibri" w:cs="Times New Roman"/>
          <w:b w:val="false"/>
          <w:bCs w:val="false"/>
          <w:i w:val="false"/>
          <w:caps w:val="false"/>
          <w:smallCaps w:val="false"/>
          <w:color w:val="101010"/>
          <w:spacing w:val="0"/>
          <w:sz w:val="22"/>
          <w:szCs w:val="22"/>
        </w:rPr>
        <w:t>machine learning (ML) based</w:t>
      </w:r>
      <w:r>
        <w:rPr>
          <w:rFonts w:eastAsia="Calibri" w:cs="Times New Roman"/>
          <w:b w:val="false"/>
          <w:bCs w:val="false"/>
          <w:color w:val="000000"/>
          <w:sz w:val="22"/>
          <w:szCs w:val="22"/>
        </w:rPr>
        <w:t xml:space="preserve"> approaches which are trained on existing binding affinity data for a given MHC molecule. </w:t>
      </w:r>
      <w:r>
        <w:rPr>
          <w:rFonts w:eastAsia="Calibri" w:cs="Times New Roman"/>
          <w:b w:val="false"/>
          <w:bCs w:val="false"/>
          <w:i w:val="false"/>
          <w:caps w:val="false"/>
          <w:smallCaps w:val="false"/>
          <w:color w:val="000000"/>
          <w:spacing w:val="0"/>
          <w:sz w:val="22"/>
          <w:szCs w:val="22"/>
        </w:rPr>
        <w:t xml:space="preserve">To do this the peptide sequence is encoded and these features fit against the known affinity. To date artificial neural networks (ANN) preform better at this task than other models such as linear regression. This is likely because the hidden layers in such networks are better able to account for the contribution of intrapeptide residue-residue interactions to the binding affinity. </w:t>
      </w:r>
      <w:r>
        <w:rPr>
          <w:rFonts w:eastAsia="Calibri" w:cs="Times New Roman"/>
          <w:b w:val="false"/>
          <w:bCs w:val="false"/>
          <w:color w:val="000000"/>
          <w:sz w:val="22"/>
          <w:szCs w:val="22"/>
        </w:rPr>
        <w:t>All methods vary in accuracy over MHC alleles depending on the availability of quality datasets. P</w:t>
      </w:r>
      <w:r>
        <w:rPr>
          <w:rFonts w:eastAsia="Calibri" w:cs="Times New Roman"/>
          <w:b w:val="false"/>
          <w:bCs w:val="false"/>
          <w:i w:val="false"/>
          <w:caps w:val="false"/>
          <w:smallCaps w:val="false"/>
          <w:color w:val="000000"/>
          <w:spacing w:val="0"/>
          <w:sz w:val="22"/>
          <w:szCs w:val="22"/>
        </w:rPr>
        <w:t xml:space="preserve">an-allele tools have been developed to deal with this issue </w:t>
      </w:r>
      <w:r>
        <w:rPr>
          <w:rFonts w:eastAsia="Calibri" w:cs="Times New Roman"/>
          <w:b w:val="false"/>
          <w:bCs w:val="false"/>
          <w:i w:val="false"/>
          <w:caps w:val="false"/>
          <w:smallCaps w:val="false"/>
          <w:color w:val="000000"/>
          <w:spacing w:val="0"/>
          <w:position w:val="0"/>
          <w:sz w:val="22"/>
          <w:sz w:val="22"/>
          <w:szCs w:val="22"/>
          <w:vertAlign w:val="baseline"/>
        </w:rPr>
        <w:t>[2]</w:t>
      </w:r>
      <w:r>
        <w:rPr>
          <w:rFonts w:eastAsia="Calibri" w:cs="Times New Roman"/>
          <w:b w:val="false"/>
          <w:bCs w:val="false"/>
          <w:i w:val="false"/>
          <w:caps w:val="false"/>
          <w:smallCaps w:val="false"/>
          <w:color w:val="000000"/>
          <w:spacing w:val="0"/>
          <w:sz w:val="22"/>
          <w:szCs w:val="22"/>
        </w:rPr>
        <w:t>⁠. These approaches can impute affinities for unknown alleles on the basis of neighboring MHC with the highest sequence similarity and which have sufficient training data.</w:t>
      </w:r>
    </w:p>
    <w:p>
      <w:pPr>
        <w:pStyle w:val="Normal"/>
        <w:suppressAutoHyphens w:val="false"/>
        <w:spacing w:lineRule="auto" w:line="360" w:before="0" w:after="200"/>
        <w:jc w:val="both"/>
        <w:rPr>
          <w:rFonts w:ascii="Lato" w:hAnsi="Lato"/>
        </w:rPr>
      </w:pPr>
      <w:r>
        <w:rPr>
          <w:rFonts w:eastAsia="Calibri" w:cs="Times New Roman"/>
          <w:b w:val="false"/>
          <w:bCs w:val="false"/>
          <w:color w:val="000000"/>
          <w:sz w:val="22"/>
          <w:szCs w:val="22"/>
        </w:rPr>
        <w:t xml:space="preserve">By convention, selection of peptides is done using an arbitary score threshold. For affinities, a threshold value of 500nM is considered a binder and 50nM a strong binder. The algorithms perform best at this classification task rather than re-producing exact affinities. </w:t>
      </w:r>
      <w:r>
        <w:rPr>
          <w:rFonts w:eastAsia="Calibri" w:cs="Times New Roman"/>
          <w:b w:val="false"/>
          <w:bCs w:val="false"/>
          <w:i w:val="false"/>
          <w:caps w:val="false"/>
          <w:smallCaps w:val="false"/>
          <w:color w:val="000000"/>
          <w:spacing w:val="0"/>
          <w:sz w:val="22"/>
          <w:szCs w:val="22"/>
        </w:rPr>
        <w:t xml:space="preserve">This problem is intrinsic to ML-based approaches: the effect of the most dominant features is penalized intentionally to achieve better generalization on blind test data </w:t>
      </w:r>
      <w:r>
        <w:rPr>
          <w:rFonts w:eastAsia="Calibri" w:cs="Times New Roman"/>
          <w:b w:val="false"/>
          <w:bCs w:val="false"/>
          <w:i w:val="false"/>
          <w:caps w:val="false"/>
          <w:smallCaps w:val="false"/>
          <w:color w:val="000000"/>
          <w:spacing w:val="0"/>
          <w:position w:val="0"/>
          <w:sz w:val="22"/>
          <w:sz w:val="22"/>
          <w:szCs w:val="22"/>
          <w:vertAlign w:val="baseline"/>
        </w:rPr>
        <w:t>[3]</w:t>
      </w:r>
      <w:r>
        <w:rPr>
          <w:rFonts w:eastAsia="Calibri" w:cs="Times New Roman"/>
          <w:b w:val="false"/>
          <w:bCs w:val="false"/>
          <w:i w:val="false"/>
          <w:caps w:val="false"/>
          <w:smallCaps w:val="false"/>
          <w:color w:val="000000"/>
          <w:spacing w:val="0"/>
          <w:sz w:val="22"/>
          <w:szCs w:val="22"/>
        </w:rPr>
        <w:t xml:space="preserve">⁠. Another source of the inaccuracy is the loss of sensitivity of experimental assays at either very high or low binding affinity regimes. As a consequence, epitope candidates for subsequent experimental validation selected by ranking the affinities may not necessarily be the best approach. Percentage ranking is now often the recommended method </w:t>
      </w:r>
      <w:r>
        <w:rPr>
          <w:rFonts w:eastAsia="Calibri" w:cs="Times New Roman"/>
          <w:b w:val="false"/>
          <w:bCs w:val="false"/>
          <w:i w:val="false"/>
          <w:caps w:val="false"/>
          <w:smallCaps w:val="false"/>
          <w:color w:val="000000"/>
          <w:spacing w:val="0"/>
          <w:position w:val="0"/>
          <w:sz w:val="22"/>
          <w:sz w:val="22"/>
          <w:szCs w:val="22"/>
          <w:vertAlign w:val="baseline"/>
        </w:rPr>
        <w:t>[4]</w:t>
      </w:r>
      <w:r>
        <w:rPr>
          <w:rFonts w:eastAsia="Calibri" w:cs="Times New Roman"/>
          <w:b w:val="false"/>
          <w:bCs w:val="false"/>
          <w:i w:val="false"/>
          <w:caps w:val="false"/>
          <w:smallCaps w:val="false"/>
          <w:color w:val="000000"/>
          <w:spacing w:val="0"/>
          <w:sz w:val="22"/>
          <w:szCs w:val="22"/>
        </w:rPr>
        <w:t xml:space="preserve">⁠. However the exact approach probably depends on the study in question. </w:t>
      </w:r>
      <w:r>
        <w:rPr>
          <w:rFonts w:eastAsia="Calibri" w:cs="Times New Roman"/>
          <w:b w:val="false"/>
          <w:bCs w:val="false"/>
          <w:color w:val="000000"/>
          <w:sz w:val="22"/>
          <w:szCs w:val="22"/>
        </w:rPr>
        <w:t xml:space="preserve">For example, searching a small number of proteins might mean taking the top ranked percentile from each sequence regardless of score. </w:t>
      </w:r>
      <w:r>
        <w:rPr>
          <w:rFonts w:eastAsia="Calibri" w:cs="Times New Roman"/>
          <w:b w:val="false"/>
          <w:bCs w:val="false"/>
          <w:i w:val="false"/>
          <w:caps w:val="false"/>
          <w:smallCaps w:val="false"/>
          <w:color w:val="000000"/>
          <w:spacing w:val="0"/>
          <w:sz w:val="22"/>
          <w:szCs w:val="22"/>
        </w:rPr>
        <w:t>Threshold selection is discussed later in the examples.</w:t>
      </w:r>
    </w:p>
    <w:p>
      <w:pPr>
        <w:pStyle w:val="Heading2"/>
        <w:rPr/>
      </w:pPr>
      <w:r>
        <w:rPr/>
        <w:t>Strategies for epitope selection</w:t>
      </w:r>
    </w:p>
    <w:p>
      <w:pPr>
        <w:pStyle w:val="Normal"/>
        <w:suppressAutoHyphens w:val="false"/>
        <w:spacing w:lineRule="auto" w:line="360" w:before="0" w:after="200"/>
        <w:ind w:left="0" w:right="0" w:hanging="0"/>
        <w:jc w:val="both"/>
        <w:rPr/>
      </w:pPr>
      <w:r>
        <w:rPr>
          <w:rFonts w:cs="Times New Roman"/>
          <w:b w:val="false"/>
          <w:i w:val="false"/>
          <w:iCs w:val="false"/>
          <w:caps w:val="false"/>
          <w:smallCaps w:val="false"/>
          <w:color w:val="000000"/>
          <w:spacing w:val="0"/>
          <w:sz w:val="22"/>
          <w:szCs w:val="22"/>
        </w:rPr>
        <w:t>A typical approach to binder selection is to select the top n</w:t>
      </w:r>
      <w:r>
        <w:rPr>
          <w:rFonts w:cs="Times New Roman"/>
          <w:b w:val="false"/>
          <w:i w:val="false"/>
          <w:iCs w:val="false"/>
          <w:caps w:val="false"/>
          <w:smallCaps w:val="false"/>
          <w:color w:val="000000"/>
          <w:spacing w:val="0"/>
          <w:sz w:val="22"/>
          <w:szCs w:val="22"/>
          <w:vertAlign w:val="superscript"/>
        </w:rPr>
        <w:t>th</w:t>
      </w:r>
      <w:r>
        <w:rPr>
          <w:rFonts w:cs="Times New Roman"/>
          <w:b w:val="false"/>
          <w:i w:val="false"/>
          <w:iCs w:val="false"/>
          <w:caps w:val="false"/>
          <w:smallCaps w:val="false"/>
          <w:color w:val="000000"/>
          <w:spacing w:val="0"/>
          <w:sz w:val="22"/>
          <w:szCs w:val="22"/>
        </w:rPr>
        <w:t xml:space="preserve"> percentile per protein rather than using an absolute threshold value; however for whole proteome studies this is likely to introduce multiple false positives from peptides in proteins that would otherwise score very low globally. We therefore </w:t>
      </w:r>
      <w:r>
        <w:rPr>
          <w:rFonts w:eastAsia="Lohit Hindi" w:cs="Times New Roman"/>
          <w:b w:val="false"/>
          <w:i w:val="false"/>
          <w:iCs w:val="false"/>
          <w:caps w:val="false"/>
          <w:smallCaps w:val="false"/>
          <w:color w:val="000000"/>
          <w:spacing w:val="0"/>
          <w:sz w:val="22"/>
          <w:szCs w:val="22"/>
          <w:lang w:val="en-GB" w:eastAsia="zh-CN" w:bidi="hi-IN"/>
        </w:rPr>
        <w:t>include in our</w:t>
      </w:r>
      <w:r>
        <w:rPr>
          <w:rFonts w:cs="Times New Roman"/>
          <w:b w:val="false"/>
          <w:i w:val="false"/>
          <w:iCs w:val="false"/>
          <w:caps w:val="false"/>
          <w:smallCaps w:val="false"/>
          <w:color w:val="000000"/>
          <w:spacing w:val="0"/>
          <w:sz w:val="22"/>
          <w:szCs w:val="22"/>
        </w:rPr>
        <w:t xml:space="preserve"> method a global standardization of the score over the entire proteome, similar to that used by </w:t>
      </w:r>
      <w:r>
        <w:rPr>
          <w:rFonts w:eastAsia="Calibri" w:cs="Times New Roman"/>
          <w:b w:val="false"/>
          <w:i w:val="false"/>
          <w:iCs w:val="false"/>
          <w:caps w:val="false"/>
          <w:smallCaps w:val="false"/>
          <w:color w:val="000000"/>
          <w:spacing w:val="0"/>
          <w:sz w:val="22"/>
          <w:szCs w:val="22"/>
        </w:rPr>
        <w:t xml:space="preserve">Bremel et al. </w:t>
      </w:r>
      <w:r>
        <w:rPr>
          <w:rFonts w:eastAsia="Calibri" w:cs="Times New Roman"/>
          <w:b w:val="false"/>
          <w:i w:val="false"/>
          <w:iCs w:val="false"/>
          <w:caps w:val="false"/>
          <w:smallCaps w:val="false"/>
          <w:color w:val="000000"/>
          <w:spacing w:val="0"/>
          <w:position w:val="0"/>
          <w:sz w:val="22"/>
          <w:sz w:val="22"/>
          <w:szCs w:val="22"/>
          <w:vertAlign w:val="baseline"/>
        </w:rPr>
        <w:t>[5]</w:t>
      </w:r>
      <w:r>
        <w:rPr>
          <w:rFonts w:eastAsia="Calibri" w:cs="Times New Roman"/>
          <w:b w:val="false"/>
          <w:i w:val="false"/>
          <w:iCs w:val="false"/>
          <w:caps w:val="false"/>
          <w:smallCaps w:val="false"/>
          <w:color w:val="000000"/>
          <w:spacing w:val="0"/>
          <w:sz w:val="22"/>
          <w:szCs w:val="22"/>
        </w:rPr>
        <w:t>⁠</w:t>
      </w:r>
      <w:r>
        <w:fldChar w:fldCharType="begin"/>
      </w:r>
      <w:r>
        <w:instrText>ADDIN CSL_CITATION { "citationItems" : [ { "id" : "ITEM-1", "itemData" : { "DOI" : "10.1186/1745-7580-6-8", "ISSN" : "1745-7580", "PMID" : "21044290", "abstract" : "BACKGROUND: Improving our understanding of the immune response is fundamental to developing strategies to combat a wide range of diseases. We describe an integrated epitope analysis system which is based on principal component analysis of sequences of amino acids, using a multilayer perceptron neural net to conduct QSAR regression predictions for peptide binding affinities to 35 MHC-I and 14 MHC-II alleles.\n\nRESULTS: The approach described allows rapid processing of single proteins, entire proteomes or subsets thereof, as well as multiple strains of the same organism. It enables consideration of the interface of diversity of both microorganisms and of host immunogenetics. Patterns of binding affinity are linked to topological features, such as extracellular or intramembrane location, and integrated into a graphical display which facilitates conceptual understanding of the interplay of B-cell and T-cell mediated immunity.Patterns which emerge from application of this approach include the correlations between peptides showing high affinity binding to MHC-I and to MHC-II, and also with predicted B-cell epitopes. These are characterized as coincident epitope groups (CEGs). Also evident are long range patterns across proteins which identify regions of high affinity binding for a permuted population of diverse and heterozygous HLA alleles, as well as subtle differences in reactions with MHCs of individual HLA alleles, which may be important in disease susceptibility, and in vaccine and clinical trial design. Comparisons are shown of predicted epitope mapping derived from application of the QSAR approach with experimentally derived epitope maps from a diverse multi-species dataset, from Staphylococcus aureus, and from vaccinia virus.\n\nCONCLUSIONS: A desktop application with interactive graphic capability is shown to be a useful platform for development of prediction and visualization tools for epitope mapping at scales ranging from individual proteins to proteomes from multiple strains of an organism. The possible functional implications of the patterns of peptide epitopes observed are discussed, including their implications for B-cell and T-cell cooperation and cross presentation.", "author" : [ { "dropping-particle" : "", "family" : "Bremel", "given" : "Robert D", "non-dropping-particle" : "", "parse-names" : false, "suffix" : "" }, { "dropping-particle" : "", "family" : "Homan", "given" : "E Jane", "non-dropping-particle" : "", "parse-names" : false, "suffix" : "" } ], "container-title" : "Immunome research", "id" : "ITEM-1", "issue" : "1", "issued" : { "date-parts" : [ [ "2010", "1" ] ] }, "page" : "8", "publisher" : "BioMed Central Ltd", "title" : "An integrated approach to epitope analysis II: A system for proteomic-scale prediction of immunological characteristics.", "type" : "article-journal", "volume" : "6" }, "uris" : [ "http://www.mendeley.com/documents/?uuid=69c514b0-5edc-443a-a807-8ed6fc1fdff4" ] } ], "mendeley" : { "formattedCitation" : "[32]", "plainTextFormattedCitation" : "[32]", "previouslyFormattedCitation" : "[32]" }, "properties" : { "noteIndex" : 0 }, "schema" : "https://github.com/citation-style-language/schema/raw/master/csl-citation.json" }</w:instrText>
      </w:r>
      <w:r>
        <w:fldChar w:fldCharType="separate"/>
      </w:r>
      <w:bookmarkStart w:id="1" w:name="__Fieldmark__54_456050138"/>
      <w:r>
        <w:rPr>
          <w:rFonts w:eastAsia="Calibri" w:cs="Times New Roman"/>
          <w:b w:val="false"/>
          <w:i w:val="false"/>
          <w:iCs w:val="false"/>
          <w:caps w:val="false"/>
          <w:smallCaps w:val="false"/>
          <w:color w:val="000000"/>
          <w:spacing w:val="0"/>
          <w:sz w:val="22"/>
          <w:szCs w:val="22"/>
        </w:rPr>
      </w:r>
      <w:r>
        <w:rPr>
          <w:rFonts w:eastAsia="Calibri" w:cs="Times New Roman"/>
          <w:b w:val="false"/>
          <w:i w:val="false"/>
          <w:iCs w:val="false"/>
          <w:caps w:val="false"/>
          <w:smallCaps w:val="false"/>
          <w:color w:val="000000"/>
          <w:spacing w:val="0"/>
          <w:sz w:val="22"/>
          <w:szCs w:val="22"/>
        </w:rPr>
      </w:r>
      <w:r>
        <w:fldChar w:fldCharType="end"/>
      </w:r>
      <w:bookmarkStart w:id="2" w:name="__Fieldmark__165_978958004"/>
      <w:bookmarkStart w:id="3" w:name="__Fieldmark__402_2006939054"/>
      <w:bookmarkStart w:id="4" w:name="__Fieldmark__324_47035961"/>
      <w:bookmarkStart w:id="5" w:name="__Fieldmark__290_325805994"/>
      <w:bookmarkStart w:id="6" w:name="__Fieldmark__336_972450461"/>
      <w:bookmarkStart w:id="7" w:name="__Fieldmark__4219_978958004"/>
      <w:bookmarkEnd w:id="1"/>
      <w:bookmarkEnd w:id="2"/>
      <w:bookmarkEnd w:id="3"/>
      <w:bookmarkEnd w:id="4"/>
      <w:bookmarkEnd w:id="5"/>
      <w:bookmarkEnd w:id="6"/>
      <w:bookmarkEnd w:id="7"/>
      <w:r>
        <w:rPr/>
        <w:t xml:space="preserve"> and others, by </w:t>
      </w:r>
      <w:bookmarkStart w:id="8" w:name="__Fieldmark__869_1541776324"/>
      <w:bookmarkStart w:id="9" w:name="__Fieldmark__302_1061676112"/>
      <w:bookmarkEnd w:id="8"/>
      <w:bookmarkEnd w:id="9"/>
      <w:r>
        <w:rPr>
          <w:rFonts w:cs="Times New Roman"/>
          <w:b w:val="false"/>
          <w:i w:val="false"/>
          <w:iCs w:val="false"/>
          <w:caps w:val="false"/>
          <w:smallCaps w:val="false"/>
          <w:color w:val="000000"/>
          <w:spacing w:val="0"/>
          <w:sz w:val="22"/>
          <w:szCs w:val="22"/>
        </w:rPr>
        <w:t xml:space="preserve">setting a global cut-off based on the top </w:t>
      </w:r>
      <w:r>
        <w:rPr>
          <w:rFonts w:eastAsia="Lohit Hindi" w:cs="Times New Roman"/>
          <w:b w:val="false"/>
          <w:i w:val="false"/>
          <w:iCs w:val="false"/>
          <w:caps w:val="false"/>
          <w:smallCaps w:val="false"/>
          <w:color w:val="000000"/>
          <w:spacing w:val="0"/>
          <w:sz w:val="22"/>
          <w:szCs w:val="22"/>
          <w:lang w:val="en-GB" w:eastAsia="zh-CN" w:bidi="hi-IN"/>
        </w:rPr>
        <w:t>percentage of</w:t>
      </w:r>
      <w:r>
        <w:rPr>
          <w:rFonts w:cs="Times New Roman"/>
          <w:b w:val="false"/>
          <w:i w:val="false"/>
          <w:iCs w:val="false"/>
          <w:caps w:val="false"/>
          <w:smallCaps w:val="false"/>
          <w:color w:val="000000"/>
          <w:spacing w:val="0"/>
          <w:sz w:val="22"/>
          <w:szCs w:val="22"/>
        </w:rPr>
        <w:t xml:space="preserve"> scores from the entire proteome. In addition, some alleles have a significantly higher score distribution and will dominate the results if a uniform score cut-off is applied; this applies in general to MHC binding predictors. Thus  separate global cut-off per allele so that low scoring alleles would be better represented </w:t>
      </w:r>
      <w:r>
        <w:rPr>
          <w:rFonts w:eastAsia="Lohit Hindi" w:cs="Times New Roman"/>
          <w:b w:val="false"/>
          <w:i w:val="false"/>
          <w:iCs w:val="false"/>
          <w:caps w:val="false"/>
          <w:smallCaps w:val="false"/>
          <w:color w:val="000000"/>
          <w:spacing w:val="0"/>
          <w:sz w:val="22"/>
          <w:szCs w:val="22"/>
          <w:lang w:val="en-GB" w:eastAsia="zh-CN" w:bidi="hi-IN"/>
        </w:rPr>
        <w:t>is also advisable</w:t>
      </w:r>
      <w:r>
        <w:rPr>
          <w:rFonts w:cs="Times New Roman"/>
          <w:b w:val="false"/>
          <w:i w:val="false"/>
          <w:iCs w:val="false"/>
          <w:caps w:val="false"/>
          <w:smallCaps w:val="false"/>
          <w:color w:val="000000"/>
          <w:spacing w:val="0"/>
          <w:sz w:val="22"/>
          <w:szCs w:val="22"/>
        </w:rPr>
        <w:t xml:space="preserve">. This approach is consistent with recent work by Paul et al. </w:t>
      </w:r>
      <w:r>
        <w:rPr>
          <w:rFonts w:cs="Times New Roman"/>
          <w:b w:val="false"/>
          <w:i w:val="false"/>
          <w:iCs w:val="false"/>
          <w:caps w:val="false"/>
          <w:smallCaps w:val="false"/>
          <w:color w:val="000000"/>
          <w:spacing w:val="0"/>
          <w:position w:val="0"/>
          <w:sz w:val="22"/>
          <w:sz w:val="22"/>
          <w:szCs w:val="22"/>
          <w:vertAlign w:val="baseline"/>
        </w:rPr>
        <w:t>[6]</w:t>
      </w:r>
      <w:r>
        <w:rPr>
          <w:rFonts w:cs="Times New Roman"/>
          <w:b w:val="false"/>
          <w:i w:val="false"/>
          <w:iCs w:val="false"/>
          <w:caps w:val="false"/>
          <w:smallCaps w:val="false"/>
          <w:color w:val="000000"/>
          <w:spacing w:val="0"/>
          <w:sz w:val="22"/>
          <w:szCs w:val="22"/>
        </w:rPr>
        <w:t>⁠ regarding allele-specific thresholds in MHC-I prediction. Three alternative such threshold strategeies are provided in this library and discussed below.</w:t>
      </w:r>
    </w:p>
    <w:p>
      <w:pPr>
        <w:pStyle w:val="Heading2"/>
        <w:rPr/>
      </w:pPr>
      <w:r>
        <w:rPr/>
        <w:t>Binding promiscuity</w:t>
      </w:r>
    </w:p>
    <w:p>
      <w:pPr>
        <w:pStyle w:val="Normal"/>
        <w:rPr/>
      </w:pPr>
      <w:r>
        <w:rPr/>
        <w:t xml:space="preserve">Promiscuous MHC binders are defined in this context as those above the cutoffs in more than </w:t>
      </w:r>
      <w:r>
        <w:rPr>
          <w:lang w:val="en-GB" w:eastAsia="zh-CN" w:bidi="hi-IN"/>
        </w:rPr>
        <w:t>a given number of</w:t>
      </w:r>
      <w:r>
        <w:rPr/>
        <w:t xml:space="preserve"> alleles. The rationale for this is that a peptide is more likely to be immunogenic in your target population if it is a binder in multiple alleles. </w:t>
      </w:r>
    </w:p>
    <w:p>
      <w:pPr>
        <w:pStyle w:val="Heading2"/>
        <w:rPr/>
      </w:pPr>
      <w:r>
        <w:rPr/>
        <w:t>Tools for epitope selection</w:t>
      </w:r>
    </w:p>
    <w:p>
      <w:pPr>
        <w:pStyle w:val="Normal"/>
        <w:suppressAutoHyphens w:val="false"/>
        <w:spacing w:lineRule="auto" w:line="360" w:before="0" w:after="200"/>
        <w:jc w:val="both"/>
        <w:rPr>
          <w:rFonts w:ascii="Lato" w:hAnsi="Lato"/>
          <w:caps w:val="false"/>
          <w:smallCaps w:val="false"/>
          <w:color w:val="000000"/>
          <w:spacing w:val="0"/>
          <w:sz w:val="22"/>
        </w:rPr>
      </w:pPr>
      <w:r>
        <w:rPr>
          <w:b w:val="false"/>
          <w:i w:val="false"/>
          <w:caps w:val="false"/>
          <w:smallCaps w:val="false"/>
          <w:color w:val="101010"/>
          <w:spacing w:val="0"/>
          <w:sz w:val="22"/>
          <w:szCs w:val="22"/>
        </w:rPr>
        <w:t xml:space="preserve">Software for T cell vaccine development or neoepitope prediction currently concentrates on using the binding prediction or eluted ligand likelihood as the main selection methods. </w:t>
      </w:r>
      <w:r>
        <w:rPr>
          <w:rFonts w:eastAsia="Calibri" w:cs="Times New Roman"/>
          <w:b w:val="false"/>
          <w:bCs w:val="false"/>
          <w:i w:val="false"/>
          <w:iCs w:val="false"/>
          <w:caps w:val="false"/>
          <w:smallCaps w:val="false"/>
          <w:color w:val="000000"/>
          <w:spacing w:val="0"/>
          <w:sz w:val="22"/>
          <w:szCs w:val="22"/>
          <w:u w:val="none"/>
        </w:rPr>
        <w:t xml:space="preserve">Typically when a binding prediction tool is published, the authors will provide a binary that can be used on the command line or via a web interface. Some tools provide both. Command line tools offer better control and perhaps higher throughput but may be harder to use for a general user. Virtually all of these require users separately input each sequence and it’s allele. It is then difficult or impossible to integrate results from multiple sequences and alleles. The results are often in different formats and it is not possible to compare between algorithms, for example. </w:t>
      </w:r>
    </w:p>
    <w:p>
      <w:pPr>
        <w:pStyle w:val="Normal"/>
        <w:suppressAutoHyphens w:val="false"/>
        <w:spacing w:lineRule="auto" w:line="360" w:before="0" w:after="200"/>
        <w:jc w:val="both"/>
        <w:rPr>
          <w:rFonts w:ascii="Lato" w:hAnsi="Lato" w:eastAsia="Calibri" w:cs="Times New Roman"/>
          <w:b w:val="false"/>
          <w:b w:val="false"/>
          <w:bCs w:val="false"/>
          <w:color w:val="000000"/>
          <w:sz w:val="22"/>
          <w:szCs w:val="22"/>
        </w:rPr>
      </w:pPr>
      <w:r>
        <w:rPr>
          <w:rFonts w:eastAsia="Calibri" w:cs="Times New Roman"/>
          <w:b w:val="false"/>
          <w:bCs w:val="false"/>
          <w:i w:val="false"/>
          <w:iCs w:val="false"/>
          <w:caps w:val="false"/>
          <w:smallCaps w:val="false"/>
          <w:color w:val="000000"/>
          <w:spacing w:val="0"/>
          <w:sz w:val="22"/>
          <w:szCs w:val="22"/>
          <w:u w:val="none"/>
        </w:rPr>
        <w:t>There are several computational pipelines that help a researcher to do epitope prediction [7,8]</w:t>
      </w:r>
      <w:r>
        <w:rPr>
          <w:rFonts w:eastAsia="Calibri" w:cs="Times New Roman"/>
          <w:b w:val="false"/>
          <w:bCs w:val="false"/>
          <w:i w:val="false"/>
          <w:iCs w:val="false"/>
          <w:caps w:val="false"/>
          <w:smallCaps w:val="false"/>
          <w:color w:val="000000"/>
          <w:spacing w:val="0"/>
          <w:position w:val="0"/>
          <w:sz w:val="22"/>
          <w:sz w:val="22"/>
          <w:szCs w:val="22"/>
          <w:u w:val="none"/>
          <w:vertAlign w:val="baseline"/>
        </w:rPr>
        <w:t>⁠</w:t>
      </w:r>
      <w:r>
        <w:rPr>
          <w:rFonts w:eastAsia="Calibri" w:cs="Times New Roman"/>
          <w:b w:val="false"/>
          <w:bCs w:val="false"/>
          <w:i w:val="false"/>
          <w:iCs w:val="false"/>
          <w:caps w:val="false"/>
          <w:smallCaps w:val="false"/>
          <w:color w:val="000000"/>
          <w:spacing w:val="0"/>
          <w:sz w:val="22"/>
          <w:szCs w:val="22"/>
          <w:u w:val="none"/>
        </w:rPr>
        <w:t xml:space="preserve">⁠. Other commercial desktop software applications for epitope discovery are EpiMatrix </w:t>
      </w:r>
      <w:r>
        <w:rPr>
          <w:rFonts w:eastAsia="Calibri" w:cs="Times New Roman"/>
          <w:b w:val="false"/>
          <w:bCs w:val="false"/>
          <w:i w:val="false"/>
          <w:iCs w:val="false"/>
          <w:caps w:val="false"/>
          <w:smallCaps w:val="false"/>
          <w:color w:val="000000"/>
          <w:spacing w:val="0"/>
          <w:position w:val="0"/>
          <w:sz w:val="22"/>
          <w:sz w:val="22"/>
          <w:szCs w:val="22"/>
          <w:u w:val="none"/>
          <w:vertAlign w:val="baseline"/>
        </w:rPr>
        <w:t>[9]</w:t>
      </w:r>
      <w:r>
        <w:rPr>
          <w:rFonts w:eastAsia="Calibri" w:cs="Times New Roman"/>
          <w:b w:val="false"/>
          <w:bCs w:val="false"/>
          <w:i w:val="false"/>
          <w:iCs w:val="false"/>
          <w:caps w:val="false"/>
          <w:smallCaps w:val="false"/>
          <w:color w:val="000000"/>
          <w:spacing w:val="0"/>
          <w:sz w:val="22"/>
          <w:szCs w:val="22"/>
          <w:u w:val="none"/>
        </w:rPr>
        <w:t>⁠. Commercial tools may be of high quality but are neither free nor open source, raising issues of reproducibility for academics. Therefore there is a limited choice for users in readily available and easy to use tools.</w:t>
      </w:r>
    </w:p>
    <w:p>
      <w:pPr>
        <w:pStyle w:val="Heading1"/>
        <w:rPr>
          <w:rFonts w:ascii="Lato" w:hAnsi="Lato"/>
        </w:rPr>
      </w:pPr>
      <w:r>
        <w:rPr/>
        <w:t>Implementation</w:t>
      </w:r>
    </w:p>
    <w:p>
      <w:pPr>
        <w:pStyle w:val="Normal"/>
        <w:spacing w:lineRule="auto" w:line="360"/>
        <w:jc w:val="both"/>
        <w:rPr/>
      </w:pPr>
      <w:r>
        <w:rPr>
          <w:rFonts w:cs="Times New Roman"/>
          <w:b w:val="false"/>
          <w:bCs w:val="false"/>
          <w:color w:val="000000"/>
          <w:sz w:val="22"/>
          <w:szCs w:val="22"/>
          <w:u w:val="none"/>
        </w:rPr>
        <w:t xml:space="preserve">This software is implemented entirely in Python. To achieve some level of uniformity between prediction methods a standardized programmatic interface for executing the binding prediction methods and processing the results was designed. The results from each method can then be processed and visualized in a consistent manner. </w:t>
      </w:r>
      <w:r>
        <w:rPr>
          <w:rFonts w:cs="Times New Roman"/>
          <w:b w:val="false"/>
          <w:bCs w:val="false"/>
          <w:i w:val="false"/>
          <w:caps w:val="false"/>
          <w:smallCaps w:val="false"/>
          <w:color w:val="000000"/>
          <w:spacing w:val="0"/>
          <w:sz w:val="22"/>
          <w:szCs w:val="22"/>
        </w:rPr>
        <w:t xml:space="preserve">Prediction methods are implemented by inheriting from a </w:t>
      </w:r>
      <w:r>
        <w:rPr>
          <w:rStyle w:val="Quotation"/>
          <w:rFonts w:cs="Times New Roman"/>
          <w:b w:val="false"/>
          <w:bCs w:val="false"/>
          <w:i w:val="false"/>
          <w:caps w:val="false"/>
          <w:smallCaps w:val="false"/>
          <w:color w:val="000000"/>
          <w:spacing w:val="0"/>
          <w:sz w:val="22"/>
          <w:szCs w:val="22"/>
        </w:rPr>
        <w:t xml:space="preserve">Predictor </w:t>
      </w:r>
      <w:r>
        <w:rPr>
          <w:rFonts w:cs="Times New Roman"/>
          <w:b w:val="false"/>
          <w:bCs w:val="false"/>
          <w:i w:val="false"/>
          <w:caps w:val="false"/>
          <w:smallCaps w:val="false"/>
          <w:color w:val="000000"/>
          <w:spacing w:val="0"/>
          <w:sz w:val="22"/>
          <w:szCs w:val="22"/>
        </w:rPr>
        <w:t xml:space="preserve">object. Each predictor may wrap methods from other python packages or call command line predictors. For example the </w:t>
      </w:r>
      <w:r>
        <w:rPr>
          <w:rStyle w:val="Quotation"/>
          <w:rFonts w:cs="Times New Roman"/>
          <w:b w:val="false"/>
          <w:bCs w:val="false"/>
          <w:i/>
          <w:iCs/>
          <w:caps w:val="false"/>
          <w:smallCaps w:val="false"/>
          <w:color w:val="000000"/>
          <w:spacing w:val="0"/>
          <w:sz w:val="22"/>
          <w:szCs w:val="22"/>
        </w:rPr>
        <w:t>TepitopePredictor</w:t>
      </w:r>
      <w:r>
        <w:rPr>
          <w:rStyle w:val="Quotation"/>
          <w:rFonts w:cs="Times New Roman"/>
          <w:b w:val="false"/>
          <w:bCs w:val="false"/>
          <w:i w:val="false"/>
          <w:caps w:val="false"/>
          <w:smallCaps w:val="false"/>
          <w:color w:val="000000"/>
          <w:spacing w:val="0"/>
          <w:sz w:val="22"/>
          <w:szCs w:val="22"/>
        </w:rPr>
        <w:t xml:space="preserve"> </w:t>
      </w:r>
      <w:r>
        <w:rPr>
          <w:rFonts w:cs="Times New Roman"/>
          <w:b w:val="false"/>
          <w:bCs w:val="false"/>
          <w:i w:val="false"/>
          <w:caps w:val="false"/>
          <w:smallCaps w:val="false"/>
          <w:color w:val="000000"/>
          <w:spacing w:val="0"/>
          <w:sz w:val="22"/>
          <w:szCs w:val="22"/>
        </w:rPr>
        <w:t xml:space="preserve">uses the </w:t>
      </w:r>
      <w:r>
        <w:rPr>
          <w:rStyle w:val="Quotation"/>
          <w:rFonts w:cs="Times New Roman"/>
          <w:b w:val="false"/>
          <w:bCs w:val="false"/>
          <w:i w:val="false"/>
          <w:caps w:val="false"/>
          <w:smallCaps w:val="false"/>
          <w:color w:val="000000"/>
          <w:spacing w:val="0"/>
          <w:sz w:val="22"/>
          <w:szCs w:val="22"/>
        </w:rPr>
        <w:t xml:space="preserve">epitopepredict.tepitope </w:t>
      </w:r>
      <w:r>
        <w:rPr>
          <w:rFonts w:cs="Times New Roman"/>
          <w:b w:val="false"/>
          <w:bCs w:val="false"/>
          <w:i w:val="false"/>
          <w:caps w:val="false"/>
          <w:smallCaps w:val="false"/>
          <w:color w:val="000000"/>
          <w:spacing w:val="0"/>
          <w:sz w:val="22"/>
          <w:szCs w:val="22"/>
        </w:rPr>
        <w:t xml:space="preserve">module provided with this package. </w:t>
      </w:r>
      <w:r>
        <w:rPr>
          <w:rFonts w:cs="Times New Roman"/>
          <w:b w:val="false"/>
          <w:bCs w:val="false"/>
          <w:i w:val="false"/>
          <w:caps w:val="false"/>
          <w:smallCaps w:val="false"/>
          <w:color w:val="000000"/>
          <w:spacing w:val="0"/>
          <w:sz w:val="22"/>
          <w:szCs w:val="22"/>
          <w:u w:val="none"/>
        </w:rPr>
        <w:t xml:space="preserve">This approach allows us to integrate a new prediction method in a relatively straightforward and consistent manner. </w:t>
      </w:r>
      <w:r>
        <w:rPr>
          <w:b w:val="false"/>
          <w:bCs w:val="false"/>
          <w:i w:val="false"/>
          <w:caps w:val="false"/>
          <w:smallCaps w:val="false"/>
          <w:color w:val="000000"/>
          <w:spacing w:val="0"/>
          <w:sz w:val="22"/>
          <w:szCs w:val="22"/>
        </w:rPr>
        <w:t xml:space="preserve">The prediction methods always return a Pandas DataFrame </w:t>
      </w:r>
      <w:r>
        <w:rPr>
          <w:b w:val="false"/>
          <w:bCs w:val="false"/>
          <w:i w:val="false"/>
          <w:caps w:val="false"/>
          <w:smallCaps w:val="false"/>
          <w:color w:val="000000"/>
          <w:spacing w:val="0"/>
          <w:position w:val="0"/>
          <w:sz w:val="22"/>
          <w:sz w:val="22"/>
          <w:szCs w:val="22"/>
          <w:vertAlign w:val="baseline"/>
        </w:rPr>
        <w:t>[10]</w:t>
      </w:r>
      <w:r>
        <w:rPr>
          <w:b w:val="false"/>
          <w:bCs w:val="false"/>
          <w:i w:val="false"/>
          <w:caps w:val="false"/>
          <w:smallCaps w:val="false"/>
          <w:color w:val="000000"/>
          <w:spacing w:val="0"/>
          <w:sz w:val="22"/>
          <w:szCs w:val="22"/>
        </w:rPr>
        <w:t xml:space="preserve">⁠ </w:t>
      </w:r>
      <w:r>
        <w:rPr>
          <w:rFonts w:cs="Times New Roman"/>
          <w:b w:val="false"/>
          <w:bCs w:val="false"/>
          <w:i w:val="false"/>
          <w:caps w:val="false"/>
          <w:smallCaps w:val="false"/>
          <w:color w:val="000000"/>
          <w:spacing w:val="0"/>
          <w:sz w:val="22"/>
          <w:szCs w:val="22"/>
          <w:u w:val="none"/>
        </w:rPr>
        <w:t>in a standard format</w:t>
      </w:r>
      <w:r>
        <w:rPr>
          <w:b w:val="false"/>
          <w:bCs w:val="false"/>
          <w:i w:val="false"/>
          <w:caps w:val="false"/>
          <w:smallCaps w:val="false"/>
          <w:color w:val="000000"/>
          <w:spacing w:val="0"/>
          <w:sz w:val="22"/>
          <w:szCs w:val="22"/>
        </w:rPr>
        <w:t xml:space="preserve">. </w:t>
      </w:r>
      <w:r>
        <w:rPr>
          <w:rFonts w:cs="Times New Roman"/>
          <w:b w:val="false"/>
          <w:bCs w:val="false"/>
          <w:i w:val="false"/>
          <w:caps w:val="false"/>
          <w:smallCaps w:val="false"/>
          <w:color w:val="000000"/>
          <w:spacing w:val="0"/>
          <w:sz w:val="22"/>
          <w:szCs w:val="22"/>
          <w:u w:val="none"/>
        </w:rPr>
        <w:t xml:space="preserve">The </w:t>
      </w:r>
      <w:r>
        <w:rPr>
          <w:rStyle w:val="Quotation"/>
          <w:rFonts w:cs="Times New Roman"/>
          <w:b w:val="false"/>
          <w:bCs w:val="false"/>
          <w:i/>
          <w:iCs/>
          <w:caps w:val="false"/>
          <w:smallCaps w:val="false"/>
          <w:color w:val="000000"/>
          <w:spacing w:val="0"/>
          <w:sz w:val="22"/>
          <w:szCs w:val="22"/>
          <w:u w:val="none"/>
        </w:rPr>
        <w:t>predict_sequences</w:t>
      </w:r>
      <w:r>
        <w:rPr>
          <w:rStyle w:val="Quotation"/>
          <w:rFonts w:cs="Times New Roman"/>
          <w:b w:val="false"/>
          <w:bCs w:val="false"/>
          <w:i w:val="false"/>
          <w:caps w:val="false"/>
          <w:smallCaps w:val="false"/>
          <w:color w:val="000000"/>
          <w:spacing w:val="0"/>
          <w:sz w:val="22"/>
          <w:szCs w:val="22"/>
          <w:u w:val="none"/>
        </w:rPr>
        <w:t xml:space="preserve"> </w:t>
      </w:r>
      <w:r>
        <w:rPr>
          <w:rFonts w:cs="Times New Roman"/>
          <w:b w:val="false"/>
          <w:bCs w:val="false"/>
          <w:i w:val="false"/>
          <w:caps w:val="false"/>
          <w:smallCaps w:val="false"/>
          <w:color w:val="000000"/>
          <w:spacing w:val="0"/>
          <w:sz w:val="22"/>
          <w:szCs w:val="22"/>
          <w:u w:val="none"/>
        </w:rPr>
        <w:t>method is used for multiple protein sequences and can be run in parallel. This can take a genbank or fasta file as input. For large numbers of sequences the predicttion function</w:t>
      </w:r>
      <w:r>
        <w:rPr>
          <w:rStyle w:val="Quotation"/>
          <w:rFonts w:cs="Times New Roman"/>
          <w:b w:val="false"/>
          <w:bCs w:val="false"/>
          <w:i w:val="false"/>
          <w:caps w:val="false"/>
          <w:smallCaps w:val="false"/>
          <w:color w:val="000000"/>
          <w:spacing w:val="0"/>
          <w:sz w:val="22"/>
          <w:szCs w:val="22"/>
          <w:u w:val="none"/>
        </w:rPr>
        <w:t xml:space="preserve"> </w:t>
      </w:r>
      <w:r>
        <w:rPr>
          <w:rFonts w:cs="Times New Roman"/>
          <w:b w:val="false"/>
          <w:bCs w:val="false"/>
          <w:i w:val="false"/>
          <w:caps w:val="false"/>
          <w:smallCaps w:val="false"/>
          <w:color w:val="000000"/>
          <w:spacing w:val="0"/>
          <w:sz w:val="22"/>
          <w:szCs w:val="22"/>
          <w:u w:val="none"/>
        </w:rPr>
        <w:t>should be called with save=True so that the results are saved as each protein is completed to avoid memory issues, since many alleles might be called for each protein.</w:t>
      </w:r>
      <w:r>
        <w:rPr>
          <w:b w:val="false"/>
          <w:bCs w:val="false"/>
          <w:i w:val="false"/>
          <w:caps w:val="false"/>
          <w:smallCaps w:val="false"/>
          <w:color w:val="000000"/>
          <w:spacing w:val="0"/>
          <w:sz w:val="22"/>
          <w:szCs w:val="22"/>
        </w:rPr>
        <w:t xml:space="preserve"> </w:t>
      </w:r>
      <w:r>
        <w:rPr>
          <w:rFonts w:cs="Times New Roman"/>
          <w:b w:val="false"/>
          <w:bCs w:val="false"/>
          <w:i w:val="false"/>
          <w:caps w:val="false"/>
          <w:smallCaps w:val="false"/>
          <w:color w:val="000000"/>
          <w:spacing w:val="0"/>
          <w:sz w:val="22"/>
          <w:szCs w:val="22"/>
          <w:u w:val="none"/>
        </w:rPr>
        <w:t>Results are saved with one file per protein/sequence in csv format. More details on how to use the Python API are given in the online documentation and in the example notebooks referencing the examples below.</w:t>
      </w:r>
    </w:p>
    <w:p>
      <w:pPr>
        <w:pStyle w:val="Normal"/>
        <w:spacing w:lineRule="auto" w:line="360"/>
        <w:jc w:val="both"/>
        <w:rPr>
          <w:rFonts w:ascii="Lato" w:hAnsi="Lato"/>
        </w:rPr>
      </w:pPr>
      <w:r>
        <w:rPr>
          <w:color w:val="000000"/>
          <w:sz w:val="22"/>
          <w:szCs w:val="22"/>
        </w:rPr>
        <w:t xml:space="preserve">The web application is implemented in Tornado </w:t>
      </w:r>
      <w:r>
        <w:rPr>
          <w:color w:val="000000"/>
          <w:position w:val="0"/>
          <w:sz w:val="22"/>
          <w:sz w:val="22"/>
          <w:szCs w:val="22"/>
          <w:vertAlign w:val="baseline"/>
        </w:rPr>
        <w:t>[11]</w:t>
      </w:r>
      <w:r>
        <w:rPr>
          <w:color w:val="000000"/>
          <w:sz w:val="22"/>
          <w:szCs w:val="22"/>
        </w:rPr>
        <w:t xml:space="preserve">⁠ using the Bokeh </w:t>
      </w:r>
      <w:r>
        <w:rPr>
          <w:color w:val="000000"/>
          <w:position w:val="0"/>
          <w:sz w:val="22"/>
          <w:sz w:val="22"/>
          <w:szCs w:val="22"/>
          <w:vertAlign w:val="baseline"/>
        </w:rPr>
        <w:t>[12]</w:t>
      </w:r>
      <w:r>
        <w:rPr>
          <w:color w:val="000000"/>
          <w:sz w:val="22"/>
          <w:szCs w:val="22"/>
        </w:rPr>
        <w:t>⁠ visuali</w:t>
      </w:r>
      <w:r>
        <w:rPr>
          <w:rFonts w:eastAsia="Lohit Hindi" w:cs="Lohit Hindi"/>
          <w:color w:val="000000"/>
          <w:sz w:val="22"/>
          <w:szCs w:val="22"/>
          <w:lang w:val="en-GB" w:eastAsia="zh-CN" w:bidi="hi-IN"/>
        </w:rPr>
        <w:t>z</w:t>
      </w:r>
      <w:r>
        <w:rPr>
          <w:color w:val="000000"/>
          <w:sz w:val="22"/>
          <w:szCs w:val="22"/>
        </w:rPr>
        <w:t>ation library for making interactive plots.</w:t>
      </w:r>
    </w:p>
    <w:p>
      <w:pPr>
        <w:pStyle w:val="Normal"/>
        <w:spacing w:lineRule="auto" w:line="360"/>
        <w:jc w:val="both"/>
        <w:rPr>
          <w:rFonts w:ascii="Lato" w:hAnsi="Lato" w:cs="Times New Roman"/>
          <w:b w:val="false"/>
          <w:b w:val="false"/>
          <w:bCs w:val="false"/>
          <w:color w:val="000000"/>
          <w:sz w:val="22"/>
          <w:szCs w:val="22"/>
          <w:u w:val="single"/>
        </w:rPr>
      </w:pPr>
      <w:r>
        <w:rPr>
          <w:rFonts w:cs="Times New Roman"/>
          <w:b w:val="false"/>
          <w:bCs w:val="false"/>
          <w:color w:val="000000"/>
          <w:sz w:val="22"/>
          <w:szCs w:val="22"/>
          <w:u w:val="single"/>
        </w:rPr>
      </w:r>
    </w:p>
    <w:p>
      <w:pPr>
        <w:pStyle w:val="Heading2"/>
        <w:rPr/>
      </w:pPr>
      <w:r>
        <w:rPr/>
        <w:t>Supported MHC binding prediction tools</w:t>
      </w:r>
    </w:p>
    <w:p>
      <w:pPr>
        <w:pStyle w:val="Normal"/>
        <w:spacing w:lineRule="auto" w:line="360"/>
        <w:ind w:left="0" w:right="0" w:hanging="0"/>
        <w:jc w:val="both"/>
        <w:rPr>
          <w:rFonts w:ascii="Lato" w:hAnsi="Lato"/>
        </w:rPr>
      </w:pPr>
      <w:r>
        <w:rPr>
          <w:rFonts w:cs="Times New Roman"/>
          <w:color w:val="000000"/>
          <w:sz w:val="22"/>
          <w:szCs w:val="22"/>
        </w:rPr>
        <w:t xml:space="preserve">The following MHC binding prediction methods are supported though the API. This means they can be utilised via the command line tool. The first two are built-in to the package, the others require installation of external software by the user. NetMHC tools in particular have to be installed separately as they have a more restrictive academic license that does not allow them to be distributed by a third party or via a repository. Only the ‘pan specific’ </w:t>
      </w:r>
      <w:r>
        <w:rPr>
          <w:rFonts w:eastAsia="Lohit Hindi" w:cs="Times New Roman"/>
          <w:color w:val="000000"/>
          <w:sz w:val="22"/>
          <w:szCs w:val="22"/>
          <w:lang w:val="en-GB" w:eastAsia="zh-CN" w:bidi="hi-IN"/>
        </w:rPr>
        <w:t>versions of these tools</w:t>
      </w:r>
      <w:r>
        <w:rPr>
          <w:rFonts w:cs="Times New Roman"/>
          <w:color w:val="000000"/>
          <w:sz w:val="22"/>
          <w:szCs w:val="22"/>
        </w:rPr>
        <w:t xml:space="preserve"> are supported as they provide the best allelic coverage.</w:t>
      </w:r>
    </w:p>
    <w:p>
      <w:pPr>
        <w:pStyle w:val="Normal"/>
        <w:numPr>
          <w:ilvl w:val="0"/>
          <w:numId w:val="3"/>
        </w:numPr>
        <w:spacing w:lineRule="auto" w:line="360"/>
        <w:jc w:val="both"/>
        <w:rPr/>
      </w:pPr>
      <w:r>
        <w:rPr>
          <w:rFonts w:cs="Times New Roman"/>
          <w:color w:val="000000"/>
          <w:sz w:val="22"/>
          <w:szCs w:val="22"/>
        </w:rPr>
        <w:t xml:space="preserve">TEPITOPEpan </w:t>
      </w:r>
      <w:r>
        <w:rPr>
          <w:rFonts w:cs="Times New Roman"/>
          <w:color w:val="000000"/>
          <w:position w:val="0"/>
          <w:sz w:val="22"/>
          <w:sz w:val="22"/>
          <w:szCs w:val="22"/>
          <w:vertAlign w:val="baseline"/>
        </w:rPr>
        <w:t>[13]</w:t>
      </w:r>
      <w:bookmarkStart w:id="10" w:name="__Fieldmark__172_972450461"/>
      <w:r>
        <w:rPr>
          <w:rFonts w:cs="Times New Roman"/>
          <w:color w:val="000000"/>
          <w:sz w:val="22"/>
          <w:szCs w:val="22"/>
        </w:rPr>
        <w:t>⁠</w:t>
      </w:r>
      <w:bookmarkEnd w:id="10"/>
      <w:r>
        <w:rPr>
          <w:color w:val="000000"/>
          <w:sz w:val="22"/>
          <w:szCs w:val="22"/>
        </w:rPr>
        <w:t xml:space="preserve"> is a position specific scoring matrix (PSSM) based algorithm. It uses 11 scoring matrices derived from combinatorial competitive binding assays on 11 HLA-DR alleles </w:t>
      </w:r>
      <w:r>
        <w:rPr>
          <w:color w:val="000000"/>
          <w:position w:val="0"/>
          <w:sz w:val="22"/>
          <w:sz w:val="22"/>
          <w:szCs w:val="22"/>
          <w:vertAlign w:val="baseline"/>
        </w:rPr>
        <w:t>[14]</w:t>
      </w:r>
      <w:r>
        <w:rPr>
          <w:color w:val="000000"/>
          <w:sz w:val="22"/>
          <w:szCs w:val="22"/>
        </w:rPr>
        <w:t>⁠</w:t>
      </w:r>
      <w:r>
        <w:fldChar w:fldCharType="begin"/>
      </w:r>
      <w:r>
        <w:instrText>ADDIN CSL_CITATION { "citationItems" : [ { "id" : "ITEM-1", "itemData" : { "DOI" : "10.1038/9858", "ISSN" : "1087-0156", "PMID" : "10385319", "abstract" : "Most pockets in the human leukocyte antigen-group DR (HLA-DR) groove are shaped by clusters of polymorphic residues and, thus, have distinct chemical and size characteristics in different HLA-DR alleles. Each HLA-DR pocket can be characterized by \"pocket profiles,\" a quantitative representation of the interaction of all natural amino acid residues with a given pocket. In this report we demonstrate that pocket profiles are nearly independent of the remaining HLA-DR cleft. A small database of profiles was sufficient to generate a large number of HLA-DR matrices, representing the majority of human HLA-DR peptide-binding specificity. These virtual matrices were incorporated in software (TEPITOPE) capable of predicting promiscuous HLA class II ligands. This software, in combination with DNA microarray technology, has provided a new tool for the generation of comprehensive databases of candidate promiscuous T-cell epitopes in human disease tissues. First, DNA microarrays are used to reveal genes that are specifically expressed or upregulated in disease tissues. Second, the prediction software enables the scanning of these genes for promiscuous HLA-DR binding sites. In an example, we demonstrate that starting from nearly 20,000 genes, a database of candidate colon cancer-specific and promiscuous T-cell epitopes could be fully populated within a matter of days. Our approach has implications for the development of epitope-based vaccines.", "author" : [ { "dropping-particle" : "", "family" : "Sturniolo", "given" : "T", "non-dropping-particle" : "", "parse-names" : false, "suffix" : "" }, { "dropping-particle" : "", "family" : "Bono", "given" : "E", "non-dropping-particle" : "", "parse-names" : false, "suffix" : "" }, { "dropping-particle" : "", "family" : "Ding", "given" : "J", "non-dropping-particle" : "", "parse-names" : false, "suffix" : "" }, { "dropping-particle" : "", "family" : "Raddrizzani", "given" : "L", "non-dropping-particle" : "", "parse-names" : false, "suffix" : "" }, { "dropping-particle" : "", "family" : "Tuereci", "given" : "O", "non-dropping-particle" : "", "parse-names" : false, "suffix" : "" }, { "dropping-particle" : "", "family" : "Sahin", "given" : "U", "non-dropping-particle" : "", "parse-names" : false, "suffix" : "" }, { "dropping-particle" : "", "family" : "Braxenthaler", "given" : "M", "non-dropping-particle" : "", "parse-names" : false, "suffix" : "" }, { "dropping-particle" : "", "family" : "Gallazzi", "given" : "F", "non-dropping-particle" : "", "parse-names" : false, "suffix" : "" }, { "dropping-particle" : "", "family" : "Protti", "given" : "M P", "non-dropping-particle" : "", "parse-names" : false, "suffix" : "" }, { "dropping-particle" : "", "family" : "Sinigaglia", "given" : "F", "non-dropping-particle" : "", "parse-names" : false, "suffix" : "" }, { "dropping-particle" : "", "family" : "Hammer", "given" : "J", "non-dropping-particle" : "", "parse-names" : false, "suffix" : "" } ], "container-title" : "Nature biotechnology", "id" : "ITEM-1", "issue" : "6", "issued" : { "date-parts" : [ [ "1999", "6" ] ] }, "page" : "555-61", "title" : "Generation of tissue-specific and promiscuous HLA ligand databases using DNA microarrays and virtual HLA class II matrices.", "type" : "article-journal", "volume" : "17" }, "uris" : [ "http://www.mendeley.com/documents/?uuid=ee7a3362-5f59-48d2-aaf2-d1b2a0a33070" ] } ], "mendeley" : { "formattedCitation" : "[27]", "plainTextFormattedCitation" : "[27]", "previouslyFormattedCitation" : "[27]" }, "properties" : { "noteIndex" : 0 }, "schema" : "https://github.com/citation-style-language/schema/raw/master/csl-citation.json" }</w:instrText>
      </w:r>
      <w:r>
        <w:fldChar w:fldCharType="separate"/>
      </w:r>
      <w:bookmarkStart w:id="11" w:name="__Fieldmark__144_456050138"/>
      <w:r>
        <w:rPr>
          <w:color w:val="000000"/>
          <w:sz w:val="22"/>
          <w:szCs w:val="22"/>
        </w:rPr>
      </w:r>
      <w:r>
        <w:rPr>
          <w:color w:val="000000"/>
          <w:sz w:val="22"/>
          <w:szCs w:val="22"/>
        </w:rPr>
      </w:r>
      <w:r>
        <w:fldChar w:fldCharType="end"/>
      </w:r>
      <w:bookmarkStart w:id="12" w:name="__Fieldmark__323_978958004"/>
      <w:bookmarkStart w:id="13" w:name="__Fieldmark__757_2006939054"/>
      <w:bookmarkStart w:id="14" w:name="__Fieldmark__205_325805994"/>
      <w:bookmarkStart w:id="15" w:name="__Fieldmark__219_47035961"/>
      <w:bookmarkStart w:id="16" w:name="__Fieldmark__216_972450461"/>
      <w:bookmarkStart w:id="17" w:name="__Fieldmark__4307_978958004"/>
      <w:bookmarkEnd w:id="11"/>
      <w:bookmarkEnd w:id="12"/>
      <w:bookmarkEnd w:id="13"/>
      <w:bookmarkEnd w:id="14"/>
      <w:bookmarkEnd w:id="15"/>
      <w:bookmarkEnd w:id="16"/>
      <w:bookmarkEnd w:id="17"/>
      <w:r>
        <w:rPr/>
        <w:t xml:space="preserve">. This method </w:t>
      </w:r>
      <w:r>
        <w:rPr>
          <w:color w:val="000000"/>
          <w:sz w:val="22"/>
          <w:szCs w:val="22"/>
        </w:rPr>
        <w:t xml:space="preserve">is pan specific and covers 700 HLA-DR molecules with unknown binding specificities based on pocket similarity </w:t>
      </w:r>
      <w:bookmarkStart w:id="18" w:name="__Fieldmark__220_325805994"/>
      <w:bookmarkStart w:id="19" w:name="__Fieldmark__238_47035961"/>
      <w:bookmarkStart w:id="20" w:name="__Fieldmark__238_972450461"/>
      <w:bookmarkEnd w:id="18"/>
      <w:bookmarkEnd w:id="19"/>
      <w:bookmarkEnd w:id="20"/>
      <w:r>
        <w:rPr>
          <w:color w:val="000000"/>
          <w:sz w:val="22"/>
          <w:szCs w:val="22"/>
        </w:rPr>
        <w:t xml:space="preserve">to the original set of 11 library sequences. We have implemented this algorithm </w:t>
      </w:r>
      <w:r>
        <w:rPr>
          <w:rFonts w:cs="Times New Roman"/>
          <w:color w:val="000000"/>
          <w:sz w:val="22"/>
          <w:szCs w:val="22"/>
        </w:rPr>
        <w:t xml:space="preserve">as a Python module, thus it </w:t>
      </w:r>
      <w:r>
        <w:rPr>
          <w:rFonts w:eastAsia="Lohit Hindi" w:cs="Times New Roman"/>
          <w:color w:val="000000"/>
          <w:sz w:val="22"/>
          <w:szCs w:val="22"/>
          <w:lang w:val="en-GB" w:eastAsia="zh-CN" w:bidi="hi-IN"/>
        </w:rPr>
        <w:t>comes with the package</w:t>
      </w:r>
      <w:r>
        <w:rPr>
          <w:rFonts w:cs="Times New Roman"/>
          <w:color w:val="000000"/>
          <w:sz w:val="22"/>
          <w:szCs w:val="22"/>
        </w:rPr>
        <w:t>. It is fast but not as accurate in benchmarks as netMHCIIpan with less alleles covered.</w:t>
      </w:r>
    </w:p>
    <w:p>
      <w:pPr>
        <w:pStyle w:val="Normal"/>
        <w:numPr>
          <w:ilvl w:val="0"/>
          <w:numId w:val="3"/>
        </w:numPr>
        <w:spacing w:lineRule="auto" w:line="360"/>
        <w:jc w:val="both"/>
        <w:rPr>
          <w:rFonts w:ascii="Lato" w:hAnsi="Lato"/>
        </w:rPr>
      </w:pPr>
      <w:r>
        <w:rPr>
          <w:rFonts w:cs="Times New Roman"/>
          <w:color w:val="000000"/>
          <w:sz w:val="22"/>
          <w:szCs w:val="22"/>
        </w:rPr>
        <w:t xml:space="preserve">The BasicMHC1 predictor is a built-in method MHC-I prediction method further detailed below. It is implemented using the scikit-learn </w:t>
      </w:r>
      <w:r>
        <w:rPr>
          <w:rFonts w:cs="Times New Roman"/>
          <w:color w:val="000000"/>
          <w:position w:val="0"/>
          <w:sz w:val="22"/>
          <w:sz w:val="22"/>
          <w:szCs w:val="22"/>
          <w:vertAlign w:val="baseline"/>
        </w:rPr>
        <w:t>[15]</w:t>
      </w:r>
      <w:r>
        <w:rPr>
          <w:rFonts w:cs="Times New Roman"/>
          <w:color w:val="000000"/>
          <w:sz w:val="22"/>
          <w:szCs w:val="22"/>
        </w:rPr>
        <w:t xml:space="preserve">⁠ package. It </w:t>
      </w:r>
      <w:r>
        <w:rPr>
          <w:rFonts w:eastAsia="Lohit Hindi" w:cs="Times New Roman"/>
          <w:color w:val="000000"/>
          <w:sz w:val="22"/>
          <w:szCs w:val="22"/>
          <w:lang w:val="en-GB" w:eastAsia="zh-CN" w:bidi="hi-IN"/>
        </w:rPr>
        <w:t>only covers 103</w:t>
      </w:r>
      <w:r>
        <w:rPr>
          <w:rFonts w:cs="Times New Roman"/>
          <w:color w:val="000000"/>
          <w:sz w:val="22"/>
          <w:szCs w:val="22"/>
        </w:rPr>
        <w:t xml:space="preserve"> MHC-I alleles and cannot currently be extrapolated to use with similar alleles (i.e. not pan specific) but provides a convenient alternative to the external tools.</w:t>
      </w:r>
    </w:p>
    <w:p>
      <w:pPr>
        <w:pStyle w:val="Normal"/>
        <w:numPr>
          <w:ilvl w:val="0"/>
          <w:numId w:val="3"/>
        </w:numPr>
        <w:spacing w:lineRule="auto" w:line="360"/>
        <w:jc w:val="both"/>
        <w:rPr>
          <w:rFonts w:ascii="Lato" w:hAnsi="Lato"/>
        </w:rPr>
      </w:pPr>
      <w:r>
        <w:rPr>
          <w:rFonts w:cs="Times New Roman"/>
          <w:color w:val="000000"/>
          <w:sz w:val="22"/>
          <w:szCs w:val="22"/>
        </w:rPr>
        <w:t xml:space="preserve">MHCflurry </w:t>
      </w:r>
      <w:r>
        <w:rPr>
          <w:rFonts w:cs="Times New Roman"/>
          <w:color w:val="000000"/>
          <w:position w:val="0"/>
          <w:sz w:val="22"/>
          <w:sz w:val="22"/>
          <w:szCs w:val="22"/>
          <w:vertAlign w:val="baseline"/>
        </w:rPr>
        <w:t>[16]</w:t>
      </w:r>
      <w:r>
        <w:rPr>
          <w:rFonts w:cs="Times New Roman"/>
          <w:color w:val="000000"/>
          <w:sz w:val="22"/>
          <w:szCs w:val="22"/>
        </w:rPr>
        <w:t xml:space="preserve"> is an MHC-I predictor also using ANNs trained on affinity measurements. It currently covers 112 human alleles. This is an open source tool available via pip and thus easy to install. It is recommended for MHC-I predictions unless there are alleles not covered. The latest </w:t>
      </w:r>
      <w:r>
        <w:rPr>
          <w:rFonts w:eastAsia="Lohit Hindi" w:cs="Times New Roman"/>
          <w:color w:val="000000"/>
          <w:sz w:val="22"/>
          <w:szCs w:val="22"/>
          <w:lang w:val="en-GB" w:eastAsia="zh-CN" w:bidi="hi-IN"/>
        </w:rPr>
        <w:t>supported version is 2.0.1.</w:t>
      </w:r>
    </w:p>
    <w:p>
      <w:pPr>
        <w:pStyle w:val="Normal"/>
        <w:numPr>
          <w:ilvl w:val="0"/>
          <w:numId w:val="3"/>
        </w:numPr>
        <w:spacing w:lineRule="auto" w:line="360"/>
        <w:jc w:val="both"/>
        <w:rPr>
          <w:rFonts w:ascii="Lato" w:hAnsi="Lato"/>
          <w:color w:val="000000"/>
          <w:sz w:val="22"/>
        </w:rPr>
      </w:pPr>
      <w:r>
        <w:rPr>
          <w:rFonts w:cs="Times New Roman"/>
          <w:color w:val="000000"/>
          <w:sz w:val="22"/>
          <w:szCs w:val="22"/>
        </w:rPr>
        <w:t xml:space="preserve">NetMHCpan </w:t>
      </w:r>
      <w:r>
        <w:rPr>
          <w:rFonts w:cs="Times New Roman"/>
          <w:color w:val="000000"/>
          <w:position w:val="0"/>
          <w:sz w:val="22"/>
          <w:sz w:val="22"/>
          <w:szCs w:val="22"/>
          <w:vertAlign w:val="baseline"/>
        </w:rPr>
        <w:t>[17]</w:t>
      </w:r>
      <w:r>
        <w:rPr>
          <w:rFonts w:cs="Times New Roman"/>
          <w:color w:val="000000"/>
          <w:sz w:val="22"/>
          <w:szCs w:val="22"/>
        </w:rPr>
        <w:t>⁠ is an artificial neural network algorithm covering many human and animal MHC-I alleles. This is trained on both MS eluted ligand data and</w:t>
      </w:r>
      <w:r>
        <w:rPr>
          <w:rFonts w:cs="Times New Roman"/>
          <w:b w:val="false"/>
          <w:i w:val="false"/>
          <w:caps w:val="false"/>
          <w:smallCaps w:val="false"/>
          <w:color w:val="000000"/>
          <w:spacing w:val="0"/>
          <w:sz w:val="22"/>
          <w:szCs w:val="22"/>
        </w:rPr>
        <w:t xml:space="preserve"> binding affinity data. It therefore returns two properties: either the likelihood of a peptide becoming a natural ligand, or the predicted binding affinity. Version 4.1 is currently supported. </w:t>
      </w:r>
    </w:p>
    <w:p>
      <w:pPr>
        <w:pStyle w:val="Normal"/>
        <w:numPr>
          <w:ilvl w:val="0"/>
          <w:numId w:val="3"/>
        </w:numPr>
        <w:spacing w:lineRule="auto" w:line="360"/>
        <w:jc w:val="both"/>
        <w:rPr/>
      </w:pPr>
      <w:r>
        <w:rPr>
          <w:rFonts w:cs="Times New Roman"/>
          <w:color w:val="000000"/>
          <w:sz w:val="22"/>
          <w:szCs w:val="22"/>
        </w:rPr>
        <w:t xml:space="preserve">NetMHCIIpan </w:t>
      </w:r>
      <w:r>
        <w:rPr>
          <w:rFonts w:cs="Times New Roman"/>
          <w:color w:val="000000"/>
          <w:position w:val="0"/>
          <w:sz w:val="22"/>
          <w:sz w:val="22"/>
          <w:szCs w:val="22"/>
          <w:vertAlign w:val="baseline"/>
        </w:rPr>
        <w:t>[18]</w:t>
      </w:r>
      <w:bookmarkStart w:id="21" w:name="__Fieldmark__264_972450461"/>
      <w:bookmarkStart w:id="22" w:name="__Fieldmark__239_325805994"/>
      <w:bookmarkStart w:id="23" w:name="__Fieldmark__261_47035961"/>
      <w:r>
        <w:rPr>
          <w:rFonts w:cs="Times New Roman"/>
          <w:color w:val="000000"/>
          <w:sz w:val="22"/>
          <w:szCs w:val="22"/>
        </w:rPr>
        <w:t>⁠</w:t>
      </w:r>
      <w:bookmarkEnd w:id="21"/>
      <w:bookmarkEnd w:id="22"/>
      <w:bookmarkEnd w:id="23"/>
      <w:r>
        <w:rPr>
          <w:rFonts w:cs="Times New Roman"/>
          <w:color w:val="000000"/>
          <w:sz w:val="22"/>
          <w:szCs w:val="22"/>
        </w:rPr>
        <w:t xml:space="preserve"> is also an ANN,</w:t>
      </w:r>
      <w:r>
        <w:rPr>
          <w:color w:val="000000"/>
          <w:sz w:val="22"/>
          <w:szCs w:val="22"/>
        </w:rPr>
        <w:t xml:space="preserve"> trained on binding data for multiple MHC-II alleles. Predictions are now extended to all HLA-DR, DQ and DP known sequences as from version 3.0 </w:t>
      </w:r>
      <w:r>
        <w:rPr>
          <w:color w:val="000000"/>
          <w:position w:val="0"/>
          <w:sz w:val="22"/>
          <w:sz w:val="22"/>
          <w:szCs w:val="22"/>
          <w:vertAlign w:val="baseline"/>
        </w:rPr>
        <w:t>[19]</w:t>
      </w:r>
      <w:r>
        <w:rPr>
          <w:rFonts w:cs="Times New Roman"/>
          <w:color w:val="000000"/>
          <w:sz w:val="22"/>
          <w:szCs w:val="22"/>
        </w:rPr>
        <w:t>⁠</w:t>
      </w:r>
      <w:r>
        <w:fldChar w:fldCharType="begin"/>
      </w:r>
      <w:r/>
      <w:r>
        <w:fldChar w:fldCharType="separate"/>
      </w:r>
      <w:bookmarkStart w:id="24" w:name="__Fieldmark__206_456050138"/>
      <w:r>
        <w:rPr>
          <w:rFonts w:cs="Times New Roman"/>
          <w:color w:val="000000"/>
          <w:sz w:val="22"/>
          <w:szCs w:val="22"/>
        </w:rPr>
      </w:r>
      <w:r>
        <w:rPr>
          <w:rFonts w:cs="Times New Roman"/>
          <w:color w:val="000000"/>
          <w:sz w:val="22"/>
          <w:szCs w:val="22"/>
        </w:rPr>
      </w:r>
      <w:r>
        <w:fldChar w:fldCharType="end"/>
      </w:r>
      <w:bookmarkStart w:id="25" w:name="__Fieldmark__421_978958004"/>
      <w:bookmarkStart w:id="26" w:name="__Fieldmark__938_2006939054"/>
      <w:bookmarkStart w:id="27" w:name="__Fieldmark__4366_978958004"/>
      <w:bookmarkEnd w:id="24"/>
      <w:bookmarkEnd w:id="25"/>
      <w:bookmarkEnd w:id="26"/>
      <w:bookmarkEnd w:id="27"/>
      <w:r>
        <w:rPr>
          <w:color w:val="000000"/>
          <w:sz w:val="22"/>
          <w:szCs w:val="22"/>
        </w:rPr>
        <w:t>. Both this tool and netMHCpan have</w:t>
      </w:r>
      <w:r>
        <w:rPr>
          <w:rFonts w:cs="Times New Roman"/>
          <w:b w:val="false"/>
          <w:i w:val="false"/>
          <w:caps w:val="false"/>
          <w:smallCaps w:val="false"/>
          <w:color w:val="000000"/>
          <w:spacing w:val="0"/>
          <w:sz w:val="22"/>
          <w:szCs w:val="22"/>
        </w:rPr>
        <w:t xml:space="preserve"> the broadest species support of any algorithms. They both </w:t>
      </w:r>
      <w:r>
        <w:rPr>
          <w:color w:val="000000"/>
          <w:sz w:val="22"/>
          <w:szCs w:val="22"/>
        </w:rPr>
        <w:t>have good web interfaces but are covered by free non-commercial academic licenses and the local versions must be installed separately. Version 3.0 is supported.</w:t>
      </w:r>
    </w:p>
    <w:p>
      <w:pPr>
        <w:pStyle w:val="Normal"/>
        <w:numPr>
          <w:ilvl w:val="0"/>
          <w:numId w:val="0"/>
        </w:numPr>
        <w:spacing w:lineRule="auto" w:line="360"/>
        <w:ind w:left="720" w:hanging="0"/>
        <w:jc w:val="both"/>
        <w:rPr>
          <w:rFonts w:ascii="Lato" w:hAnsi="Lato"/>
          <w:color w:val="000000"/>
          <w:sz w:val="22"/>
          <w:szCs w:val="22"/>
        </w:rPr>
      </w:pPr>
      <w:r>
        <w:rPr>
          <w:color w:val="000000"/>
          <w:sz w:val="22"/>
          <w:szCs w:val="22"/>
        </w:rPr>
      </w:r>
    </w:p>
    <w:p>
      <w:pPr>
        <w:pStyle w:val="Heading2"/>
        <w:rPr/>
      </w:pPr>
      <w:r>
        <w:rPr/>
        <w:t>Available threshold methods</w:t>
      </w:r>
    </w:p>
    <w:p>
      <w:pPr>
        <w:pStyle w:val="TextBody"/>
        <w:suppressAutoHyphens w:val="false"/>
        <w:spacing w:lineRule="auto" w:line="360" w:before="0" w:after="200"/>
        <w:jc w:val="both"/>
        <w:rPr>
          <w:rFonts w:ascii="Lato" w:hAnsi="Lato"/>
        </w:rPr>
      </w:pPr>
      <w:r>
        <w:rPr>
          <w:rFonts w:eastAsia="Calibri" w:cs="Times New Roman"/>
          <w:b w:val="false"/>
          <w:bCs w:val="false"/>
          <w:i w:val="false"/>
          <w:caps w:val="false"/>
          <w:smallCaps w:val="false"/>
          <w:color w:val="000000"/>
          <w:spacing w:val="0"/>
          <w:sz w:val="22"/>
          <w:szCs w:val="22"/>
        </w:rPr>
        <w:t xml:space="preserve">Thresholds for considering a peptide to be a binder are somewhat arbitrary. This tool provides three threshold methods. The results from each will overlap but will not be identical. These are applied per sequence/protein and per each allele using the currently loaded data. These three threshold methods </w:t>
      </w:r>
      <w:r>
        <w:rPr>
          <w:rFonts w:eastAsia="Calibri" w:cs="Times New Roman"/>
          <w:b w:val="false"/>
          <w:bCs w:val="false"/>
          <w:i w:val="false"/>
          <w:caps w:val="false"/>
          <w:smallCaps w:val="false"/>
          <w:color w:val="000000"/>
          <w:spacing w:val="0"/>
          <w:sz w:val="22"/>
          <w:szCs w:val="22"/>
          <w:lang w:val="en-GB" w:eastAsia="zh-CN" w:bidi="hi-IN"/>
        </w:rPr>
        <w:t>are also</w:t>
      </w:r>
      <w:r>
        <w:rPr>
          <w:rFonts w:eastAsia="Calibri" w:cs="Times New Roman"/>
          <w:b w:val="false"/>
          <w:bCs w:val="false"/>
          <w:i w:val="false"/>
          <w:caps w:val="false"/>
          <w:smallCaps w:val="false"/>
          <w:color w:val="000000"/>
          <w:spacing w:val="0"/>
          <w:sz w:val="22"/>
          <w:szCs w:val="22"/>
        </w:rPr>
        <w:t xml:space="preserve"> available when calculating promiscuous binders. </w:t>
      </w:r>
      <w:r>
        <w:rPr>
          <w:rFonts w:eastAsia="Calibri" w:cs="Times New Roman"/>
          <w:b w:val="false"/>
          <w:bCs w:val="false"/>
          <w:i w:val="false"/>
          <w:iCs/>
          <w:caps w:val="false"/>
          <w:smallCaps w:val="false"/>
          <w:color w:val="000000"/>
          <w:spacing w:val="0"/>
          <w:sz w:val="22"/>
          <w:szCs w:val="22"/>
        </w:rPr>
        <w:t xml:space="preserve">Ultimately these are </w:t>
      </w:r>
      <w:r>
        <w:rPr>
          <w:rFonts w:eastAsia="Calibri" w:cs="Times New Roman"/>
          <w:b w:val="false"/>
          <w:bCs w:val="false"/>
          <w:i w:val="false"/>
          <w:iCs/>
          <w:caps w:val="false"/>
          <w:smallCaps w:val="false"/>
          <w:color w:val="000000"/>
          <w:spacing w:val="0"/>
          <w:sz w:val="22"/>
          <w:szCs w:val="22"/>
          <w:lang w:val="en-GB" w:eastAsia="zh-CN" w:bidi="hi-IN"/>
        </w:rPr>
        <w:t>simply alternative</w:t>
      </w:r>
      <w:r>
        <w:rPr>
          <w:rFonts w:eastAsia="Calibri" w:cs="Times New Roman"/>
          <w:b w:val="false"/>
          <w:bCs w:val="false"/>
          <w:i w:val="false"/>
          <w:iCs/>
          <w:caps w:val="false"/>
          <w:smallCaps w:val="false"/>
          <w:color w:val="000000"/>
          <w:spacing w:val="0"/>
          <w:sz w:val="22"/>
          <w:szCs w:val="22"/>
        </w:rPr>
        <w:t xml:space="preserve"> methods of achieving the same result - reducing the set of predicted peptides.</w:t>
      </w:r>
    </w:p>
    <w:p>
      <w:pPr>
        <w:pStyle w:val="TextBody"/>
        <w:widowControl/>
        <w:spacing w:lineRule="atLeast" w:line="356" w:before="0" w:after="356"/>
        <w:rPr/>
      </w:pPr>
      <w:r>
        <w:rPr>
          <w:rStyle w:val="StrongEmphasis"/>
          <w:b/>
          <w:i w:val="false"/>
          <w:caps w:val="false"/>
          <w:smallCaps w:val="false"/>
          <w:color w:val="000000"/>
          <w:spacing w:val="0"/>
          <w:sz w:val="22"/>
          <w:szCs w:val="22"/>
        </w:rPr>
        <w:t>rank –</w:t>
      </w:r>
      <w:r>
        <w:rPr>
          <w:b w:val="false"/>
          <w:i w:val="false"/>
          <w:caps w:val="false"/>
          <w:smallCaps w:val="false"/>
          <w:color w:val="000000"/>
          <w:spacing w:val="0"/>
          <w:sz w:val="22"/>
          <w:szCs w:val="22"/>
        </w:rPr>
        <w:t xml:space="preserve"> Selects the top ranking peptides in each sequence </w:t>
      </w:r>
      <w:r>
        <w:rPr>
          <w:rFonts w:eastAsia="DejaVu Sans" w:cs="Lohit Hindi"/>
          <w:b w:val="false"/>
          <w:i w:val="false"/>
          <w:caps w:val="false"/>
          <w:smallCaps w:val="false"/>
          <w:color w:val="000000"/>
          <w:spacing w:val="0"/>
          <w:sz w:val="22"/>
          <w:szCs w:val="22"/>
          <w:lang w:val="en-GB" w:eastAsia="zh-CN" w:bidi="hi-IN"/>
        </w:rPr>
        <w:t>above</w:t>
      </w:r>
      <w:r>
        <w:rPr>
          <w:b w:val="false"/>
          <w:i w:val="false"/>
          <w:caps w:val="false"/>
          <w:smallCaps w:val="false"/>
          <w:color w:val="000000"/>
          <w:spacing w:val="0"/>
          <w:sz w:val="22"/>
          <w:szCs w:val="22"/>
        </w:rPr>
        <w:t xml:space="preserve"> a rank cutoff. This is the most frequently recommended method of binder selection in general.</w:t>
      </w:r>
    </w:p>
    <w:p>
      <w:pPr>
        <w:pStyle w:val="TextBody"/>
        <w:widowControl/>
        <w:suppressAutoHyphens w:val="false"/>
        <w:spacing w:lineRule="atLeast" w:line="356" w:before="0" w:after="356"/>
        <w:jc w:val="both"/>
        <w:rPr>
          <w:rFonts w:ascii="Arial" w:hAnsi="Arial" w:eastAsia="Calibri" w:cs="Times New Roman"/>
          <w:b w:val="false"/>
          <w:b w:val="false"/>
          <w:bCs w:val="false"/>
          <w:color w:val="000000"/>
          <w:sz w:val="22"/>
          <w:szCs w:val="22"/>
        </w:rPr>
      </w:pPr>
      <w:r>
        <w:rPr>
          <w:rStyle w:val="StrongEmphasis"/>
          <w:rFonts w:eastAsia="Calibri" w:cs="Times New Roman"/>
          <w:b/>
          <w:i w:val="false"/>
          <w:caps w:val="false"/>
          <w:smallCaps w:val="false"/>
          <w:color w:val="000000"/>
          <w:spacing w:val="0"/>
          <w:sz w:val="22"/>
          <w:szCs w:val="22"/>
        </w:rPr>
        <w:t xml:space="preserve">score </w:t>
      </w:r>
      <w:r>
        <w:rPr>
          <w:rFonts w:eastAsia="Calibri" w:cs="Times New Roman"/>
          <w:b w:val="false"/>
          <w:bCs w:val="false"/>
          <w:i w:val="false"/>
          <w:caps w:val="false"/>
          <w:smallCaps w:val="false"/>
          <w:color w:val="000000"/>
          <w:spacing w:val="0"/>
          <w:sz w:val="22"/>
          <w:szCs w:val="22"/>
        </w:rPr>
        <w:t>- Uses a single score cutoff for all peptides. Most binding predictors produce a binding affinity score (ic50) and a cutoff of 500nM is common. There is no rule over which score cutoff is optimal however. Some alleles will tend to produce higher scores. Also unless some limit is placed on the number of peptides, large proteins will produce a lot of peptides compared to smaller sequences.</w:t>
      </w:r>
    </w:p>
    <w:p>
      <w:pPr>
        <w:pStyle w:val="TextBody"/>
        <w:widowControl/>
        <w:suppressAutoHyphens w:val="false"/>
        <w:spacing w:lineRule="atLeast" w:line="356" w:before="0" w:after="356"/>
        <w:jc w:val="both"/>
        <w:rPr/>
      </w:pPr>
      <w:r>
        <w:rPr>
          <w:rStyle w:val="StrongEmphasis"/>
          <w:rFonts w:eastAsia="Calibri" w:cs="Times New Roman"/>
          <w:b/>
          <w:i w:val="false"/>
          <w:caps w:val="false"/>
          <w:smallCaps w:val="false"/>
          <w:color w:val="000000"/>
          <w:spacing w:val="0"/>
          <w:sz w:val="22"/>
          <w:szCs w:val="22"/>
        </w:rPr>
        <w:t xml:space="preserve">global </w:t>
      </w:r>
      <w:r>
        <w:rPr>
          <w:rFonts w:eastAsia="Calibri" w:cs="Times New Roman"/>
          <w:b w:val="false"/>
          <w:bCs w:val="false"/>
          <w:i w:val="false"/>
          <w:caps w:val="false"/>
          <w:smallCaps w:val="false"/>
          <w:color w:val="000000"/>
          <w:spacing w:val="0"/>
          <w:sz w:val="22"/>
          <w:szCs w:val="22"/>
        </w:rPr>
        <w:t>- Allele specific ‘global’ cutoffs, this uses a percentile cutoff to select peptides using pre-calculated quantile scores for each allele. The global quantile scores were calculated for each prediction method using a set of sequences from known human antigens such as</w:t>
      </w:r>
      <w:r>
        <w:rPr>
          <w:rFonts w:eastAsia="Calibri" w:cs="Times New Roman"/>
          <w:b w:val="false"/>
          <w:bCs w:val="false"/>
          <w:i w:val="false"/>
          <w:iCs/>
          <w:caps w:val="false"/>
          <w:smallCaps w:val="false"/>
          <w:color w:val="000000"/>
          <w:spacing w:val="0"/>
          <w:sz w:val="22"/>
          <w:szCs w:val="22"/>
        </w:rPr>
        <w:t xml:space="preserve"> apical membrane antigen, Tetanus toxin, thrombopoietin and  interferon beta. Therefore </w:t>
      </w:r>
      <w:r>
        <w:rPr>
          <w:rFonts w:eastAsia="Calibri" w:cs="Times New Roman"/>
          <w:b w:val="false"/>
          <w:bCs w:val="false"/>
          <w:i w:val="false"/>
          <w:iCs/>
          <w:caps w:val="false"/>
          <w:smallCaps w:val="false"/>
          <w:color w:val="000000"/>
          <w:spacing w:val="0"/>
          <w:sz w:val="22"/>
          <w:szCs w:val="22"/>
          <w:lang w:val="en-GB" w:eastAsia="zh-CN" w:bidi="hi-IN"/>
        </w:rPr>
        <w:t>peptides can be selected as measured against a standard scale as opposed to their ‘within protein’ ranking.</w:t>
      </w:r>
      <w:r>
        <w:rPr>
          <w:rFonts w:eastAsia="Calibri" w:cs="Times New Roman"/>
          <w:b w:val="false"/>
          <w:bCs w:val="false"/>
          <w:i w:val="false"/>
          <w:iCs/>
          <w:caps w:val="false"/>
          <w:smallCaps w:val="false"/>
          <w:color w:val="000000"/>
          <w:spacing w:val="0"/>
          <w:sz w:val="22"/>
          <w:szCs w:val="22"/>
        </w:rPr>
        <w:t xml:space="preserve"> A t</w:t>
      </w:r>
      <w:r>
        <w:rPr>
          <w:rFonts w:eastAsia="Calibri" w:cs="Times New Roman"/>
          <w:b w:val="false"/>
          <w:bCs w:val="false"/>
          <w:i w:val="false"/>
          <w:caps w:val="false"/>
          <w:smallCaps w:val="false"/>
          <w:color w:val="000000"/>
          <w:spacing w:val="0"/>
          <w:sz w:val="22"/>
          <w:szCs w:val="22"/>
        </w:rPr>
        <w:t xml:space="preserve">ypical value would be </w:t>
      </w:r>
      <w:r>
        <w:rPr>
          <w:rFonts w:eastAsia="Calibri" w:cs="Times New Roman"/>
          <w:b w:val="false"/>
          <w:bCs w:val="false"/>
          <w:i w:val="false"/>
          <w:caps w:val="false"/>
          <w:smallCaps w:val="false"/>
          <w:color w:val="000000"/>
          <w:spacing w:val="0"/>
          <w:sz w:val="22"/>
          <w:szCs w:val="22"/>
          <w:lang w:val="en-GB" w:eastAsia="zh-CN" w:bidi="hi-IN"/>
        </w:rPr>
        <w:t>using the</w:t>
      </w:r>
      <w:r>
        <w:rPr>
          <w:rFonts w:eastAsia="Calibri" w:cs="Times New Roman"/>
          <w:b w:val="false"/>
          <w:bCs w:val="false"/>
          <w:i w:val="false"/>
          <w:caps w:val="false"/>
          <w:smallCaps w:val="false"/>
          <w:color w:val="000000"/>
          <w:spacing w:val="0"/>
          <w:sz w:val="22"/>
          <w:szCs w:val="22"/>
        </w:rPr>
        <w:t xml:space="preserve"> top 5% in each allele across all sequences.  This technique is designed for selection</w:t>
      </w:r>
      <w:r>
        <w:rPr>
          <w:rFonts w:eastAsia="Calibri" w:cs="Times New Roman"/>
          <w:b w:val="false"/>
          <w:bCs w:val="false"/>
          <w:i w:val="false"/>
          <w:iCs/>
          <w:caps w:val="false"/>
          <w:smallCaps w:val="false"/>
          <w:color w:val="000000"/>
          <w:spacing w:val="0"/>
          <w:sz w:val="22"/>
          <w:szCs w:val="22"/>
        </w:rPr>
        <w:t xml:space="preserve"> of a small set of candidates </w:t>
      </w:r>
      <w:r>
        <w:rPr>
          <w:rFonts w:eastAsia="Calibri" w:cs="Times New Roman"/>
          <w:b w:val="false"/>
          <w:bCs w:val="false"/>
          <w:i w:val="false"/>
          <w:iCs/>
          <w:caps w:val="false"/>
          <w:smallCaps w:val="false"/>
          <w:color w:val="000000"/>
          <w:spacing w:val="0"/>
          <w:sz w:val="22"/>
          <w:szCs w:val="22"/>
          <w:lang w:val="en-GB" w:eastAsia="zh-CN" w:bidi="hi-IN"/>
        </w:rPr>
        <w:t>from</w:t>
      </w:r>
      <w:r>
        <w:rPr>
          <w:rFonts w:eastAsia="Calibri" w:cs="Times New Roman"/>
          <w:b w:val="false"/>
          <w:bCs w:val="false"/>
          <w:i w:val="false"/>
          <w:iCs/>
          <w:caps w:val="false"/>
          <w:smallCaps w:val="false"/>
          <w:color w:val="000000"/>
          <w:spacing w:val="0"/>
          <w:sz w:val="22"/>
          <w:szCs w:val="22"/>
        </w:rPr>
        <w:t xml:space="preserve"> very large numbers of proteins such as across a bacterial proteome. T</w:t>
      </w:r>
      <w:r>
        <w:rPr>
          <w:rFonts w:eastAsia="Calibri" w:cs="Times New Roman"/>
          <w:b w:val="false"/>
          <w:bCs w:val="false"/>
          <w:i w:val="false"/>
          <w:caps w:val="false"/>
          <w:smallCaps w:val="false"/>
          <w:color w:val="000000"/>
          <w:spacing w:val="0"/>
          <w:sz w:val="22"/>
          <w:szCs w:val="22"/>
        </w:rPr>
        <w:t>here is limited evidence to suggest this is superior to the other methods but w</w:t>
      </w:r>
      <w:r>
        <w:rPr>
          <w:rFonts w:eastAsia="Calibri" w:cs="Times New Roman"/>
          <w:b w:val="false"/>
          <w:bCs w:val="false"/>
          <w:iCs/>
          <w:color w:val="000000"/>
          <w:sz w:val="22"/>
          <w:szCs w:val="22"/>
        </w:rPr>
        <w:t xml:space="preserve">e have used it for selection of a small set of candidates </w:t>
      </w:r>
      <w:r>
        <w:rPr>
          <w:rFonts w:eastAsia="Calibri" w:cs="Times New Roman"/>
          <w:b w:val="false"/>
          <w:bCs w:val="false"/>
          <w:iCs/>
          <w:color w:val="000000"/>
          <w:sz w:val="22"/>
          <w:szCs w:val="22"/>
          <w:lang w:val="en-GB" w:eastAsia="zh-CN" w:bidi="hi-IN"/>
        </w:rPr>
        <w:t>from</w:t>
      </w:r>
      <w:r>
        <w:rPr>
          <w:rFonts w:eastAsia="Calibri" w:cs="Times New Roman"/>
          <w:b w:val="false"/>
          <w:bCs w:val="false"/>
          <w:iCs/>
          <w:color w:val="000000"/>
          <w:sz w:val="22"/>
          <w:szCs w:val="22"/>
        </w:rPr>
        <w:t xml:space="preserve"> large numbers of proteins, detailed in example 2 below.</w:t>
      </w:r>
    </w:p>
    <w:p>
      <w:pPr>
        <w:pStyle w:val="Heading2"/>
        <w:rPr/>
      </w:pPr>
      <w:r>
        <w:rPr/>
        <w:t>A basic MHC-I predictor</w:t>
      </w:r>
    </w:p>
    <w:p>
      <w:pPr>
        <w:pStyle w:val="Normal"/>
        <w:spacing w:lineRule="auto" w:line="360"/>
        <w:jc w:val="both"/>
        <w:rPr>
          <w:rFonts w:ascii="Lato" w:hAnsi="Lato" w:cs="Times New Roman"/>
          <w:b w:val="false"/>
          <w:b w:val="false"/>
          <w:bCs w:val="false"/>
          <w:color w:val="000000"/>
          <w:sz w:val="22"/>
          <w:szCs w:val="22"/>
        </w:rPr>
      </w:pPr>
      <w:r>
        <w:rPr>
          <w:rFonts w:cs="Times New Roman"/>
          <w:b w:val="false"/>
          <w:bCs w:val="false"/>
          <w:color w:val="000000"/>
          <w:sz w:val="22"/>
          <w:szCs w:val="22"/>
        </w:rPr>
      </w:r>
    </w:p>
    <w:p>
      <w:pPr>
        <w:pStyle w:val="Normal"/>
        <w:spacing w:lineRule="auto" w:line="360"/>
        <w:jc w:val="both"/>
        <w:rPr>
          <w:rFonts w:ascii="Lato" w:hAnsi="Lato"/>
        </w:rPr>
      </w:pPr>
      <w:r>
        <w:rPr>
          <w:rFonts w:cs="Times New Roman"/>
          <w:b w:val="false"/>
          <w:bCs w:val="false"/>
          <w:color w:val="000000"/>
          <w:sz w:val="22"/>
          <w:szCs w:val="22"/>
        </w:rPr>
        <w:t xml:space="preserve">This section details the built-in method </w:t>
      </w:r>
      <w:r>
        <w:rPr>
          <w:rFonts w:eastAsia="Lohit Hindi" w:cs="Times New Roman"/>
          <w:b w:val="false"/>
          <w:bCs w:val="false"/>
          <w:color w:val="000000"/>
          <w:sz w:val="22"/>
          <w:szCs w:val="22"/>
          <w:lang w:val="en-GB" w:eastAsia="zh-CN" w:bidi="hi-IN"/>
        </w:rPr>
        <w:t>for</w:t>
      </w:r>
      <w:r>
        <w:rPr>
          <w:rFonts w:cs="Times New Roman"/>
          <w:b w:val="false"/>
          <w:bCs w:val="false"/>
          <w:color w:val="000000"/>
          <w:sz w:val="22"/>
          <w:szCs w:val="22"/>
        </w:rPr>
        <w:t xml:space="preserve"> MHC-I binding prediction. It is implemented in Python using scikit-learn. The </w:t>
      </w:r>
      <w:r>
        <w:rPr>
          <w:rFonts w:eastAsia="Lohit Hindi" w:cs="Times New Roman"/>
          <w:b w:val="false"/>
          <w:bCs w:val="false"/>
          <w:color w:val="000000"/>
          <w:sz w:val="22"/>
          <w:szCs w:val="22"/>
          <w:lang w:val="en-GB" w:eastAsia="zh-CN" w:bidi="hi-IN"/>
        </w:rPr>
        <w:t xml:space="preserve">typical </w:t>
      </w:r>
      <w:r>
        <w:rPr>
          <w:rFonts w:cs="Times New Roman"/>
          <w:b w:val="false"/>
          <w:bCs w:val="false"/>
          <w:color w:val="000000"/>
          <w:sz w:val="22"/>
          <w:szCs w:val="22"/>
        </w:rPr>
        <w:t xml:space="preserve">method of building such an algorithm is to encode the </w:t>
      </w:r>
      <w:r>
        <w:rPr>
          <w:rFonts w:cs="Times New Roman"/>
          <w:b w:val="false"/>
          <w:bCs w:val="false"/>
          <w:i w:val="false"/>
          <w:caps w:val="false"/>
          <w:smallCaps w:val="false"/>
          <w:color w:val="000000"/>
          <w:spacing w:val="0"/>
          <w:sz w:val="22"/>
          <w:szCs w:val="22"/>
        </w:rPr>
        <w:t xml:space="preserve">peptide amino acid sequences numerically in a manner that captures the properties important for binding. Then these features can be fit against their known binding affinities (or eluted ligand data) using a regression model of some kind. </w:t>
      </w:r>
      <w:r>
        <w:rPr>
          <w:rFonts w:eastAsia="Lohit Hindi" w:cs="Times New Roman"/>
          <w:b w:val="false"/>
          <w:bCs w:val="false"/>
          <w:color w:val="000000"/>
          <w:sz w:val="22"/>
          <w:szCs w:val="22"/>
          <w:lang w:val="en-GB" w:eastAsia="zh-CN" w:bidi="hi-IN"/>
        </w:rPr>
        <w:t xml:space="preserve">Several peptide encoding schemes were tested, including the NLF encoding scheme </w:t>
      </w:r>
      <w:r>
        <w:rPr>
          <w:rFonts w:eastAsia="Lohit Hindi" w:cs="Times New Roman"/>
          <w:b w:val="false"/>
          <w:bCs w:val="false"/>
          <w:color w:val="000000"/>
          <w:position w:val="0"/>
          <w:sz w:val="22"/>
          <w:sz w:val="22"/>
          <w:szCs w:val="22"/>
          <w:vertAlign w:val="baseline"/>
          <w:lang w:val="en-GB" w:eastAsia="zh-CN" w:bidi="hi-IN"/>
        </w:rPr>
        <w:t>[20]</w:t>
      </w:r>
      <w:r>
        <w:rPr>
          <w:rFonts w:eastAsia="Lohit Hindi" w:cs="Times New Roman"/>
          <w:b w:val="false"/>
          <w:bCs w:val="false"/>
          <w:color w:val="000000"/>
          <w:sz w:val="22"/>
          <w:szCs w:val="22"/>
          <w:lang w:val="en-GB" w:eastAsia="zh-CN" w:bidi="hi-IN"/>
        </w:rPr>
        <w:t xml:space="preserve">⁠, OETMAP </w:t>
      </w:r>
      <w:r>
        <w:rPr>
          <w:rFonts w:eastAsia="Lohit Hindi" w:cs="Times New Roman"/>
          <w:b w:val="false"/>
          <w:bCs w:val="false"/>
          <w:color w:val="000000"/>
          <w:position w:val="0"/>
          <w:sz w:val="22"/>
          <w:sz w:val="22"/>
          <w:szCs w:val="22"/>
          <w:vertAlign w:val="baseline"/>
          <w:lang w:val="en-GB" w:eastAsia="zh-CN" w:bidi="hi-IN"/>
        </w:rPr>
        <w:t>[21]</w:t>
      </w:r>
      <w:r>
        <w:rPr>
          <w:rFonts w:eastAsia="Lohit Hindi" w:cs="Times New Roman"/>
          <w:b w:val="false"/>
          <w:bCs w:val="false"/>
          <w:color w:val="000000"/>
          <w:sz w:val="22"/>
          <w:szCs w:val="22"/>
          <w:lang w:val="en-GB" w:eastAsia="zh-CN" w:bidi="hi-IN"/>
        </w:rPr>
        <w:t>⁠, a Blosum62 matrix or a simple ‘one hot’ encoding method. One hot encoding was found to be adequate and the more complex schemes did not appear to offer any significant advantage. This may require further testing. For now it is possible to instantiate and train the predictor with any of these encoders. The regression model used is the ‘MLPRegressor’ from sklearn,</w:t>
      </w:r>
      <w:r>
        <w:rPr>
          <w:rFonts w:eastAsia="Lohit Hindi" w:cs="Times New Roman"/>
          <w:b w:val="false"/>
          <w:bCs w:val="false"/>
          <w:i w:val="false"/>
          <w:caps w:val="false"/>
          <w:smallCaps w:val="false"/>
          <w:color w:val="000000"/>
          <w:spacing w:val="0"/>
          <w:sz w:val="22"/>
          <w:szCs w:val="22"/>
          <w:lang w:val="en-GB" w:eastAsia="zh-CN" w:bidi="hi-IN"/>
        </w:rPr>
        <w:t xml:space="preserve"> an implementation of a multilayer perceptron (MLP), a class of artificial neural network. </w:t>
      </w:r>
      <w:r>
        <w:rPr>
          <w:rFonts w:cs="Times New Roman"/>
          <w:b w:val="false"/>
          <w:bCs w:val="false"/>
          <w:i w:val="false"/>
          <w:caps w:val="false"/>
          <w:smallCaps w:val="false"/>
          <w:color w:val="000000"/>
          <w:spacing w:val="0"/>
          <w:sz w:val="22"/>
          <w:szCs w:val="22"/>
        </w:rPr>
        <w:t xml:space="preserve">The data used for training </w:t>
      </w:r>
      <w:r>
        <w:rPr>
          <w:rFonts w:eastAsia="Lohit Hindi" w:cs="Times New Roman"/>
          <w:b w:val="false"/>
          <w:bCs w:val="false"/>
          <w:i w:val="false"/>
          <w:caps w:val="false"/>
          <w:smallCaps w:val="false"/>
          <w:color w:val="000000"/>
          <w:spacing w:val="0"/>
          <w:sz w:val="22"/>
          <w:szCs w:val="22"/>
          <w:lang w:val="en-GB" w:eastAsia="zh-CN" w:bidi="hi-IN"/>
        </w:rPr>
        <w:t>was</w:t>
      </w:r>
      <w:r>
        <w:rPr>
          <w:rFonts w:cs="Times New Roman"/>
          <w:b w:val="false"/>
          <w:bCs w:val="false"/>
          <w:i w:val="false"/>
          <w:caps w:val="false"/>
          <w:smallCaps w:val="false"/>
          <w:color w:val="000000"/>
          <w:spacing w:val="0"/>
          <w:sz w:val="22"/>
          <w:szCs w:val="22"/>
        </w:rPr>
        <w:t xml:space="preserve"> primarily from the IEDB and was curated by the authors of MHCflurry </w:t>
      </w:r>
      <w:r>
        <w:rPr>
          <w:rFonts w:cs="Times New Roman"/>
          <w:b w:val="false"/>
          <w:bCs w:val="false"/>
          <w:i w:val="false"/>
          <w:caps w:val="false"/>
          <w:smallCaps w:val="false"/>
          <w:color w:val="000000"/>
          <w:spacing w:val="0"/>
          <w:position w:val="0"/>
          <w:sz w:val="22"/>
          <w:sz w:val="22"/>
          <w:szCs w:val="22"/>
          <w:vertAlign w:val="baseline"/>
        </w:rPr>
        <w:t>[16]</w:t>
      </w:r>
      <w:r>
        <w:rPr>
          <w:rFonts w:cs="Times New Roman"/>
          <w:b w:val="false"/>
          <w:bCs w:val="false"/>
          <w:i w:val="false"/>
          <w:caps w:val="false"/>
          <w:smallCaps w:val="false"/>
          <w:color w:val="000000"/>
          <w:spacing w:val="0"/>
          <w:sz w:val="22"/>
          <w:szCs w:val="22"/>
        </w:rPr>
        <w:t xml:space="preserve">⁠ from various sources. The regression model must be trained for each allele. When this is done the model is persisted with the joblib module and can be re-loaded for new predictions for that allele. All of this functionality is encapsulated in the BasicMHCIPredictor class in epitopepredict. The predictor only supports </w:t>
      </w:r>
      <w:r>
        <w:rPr>
          <w:rFonts w:eastAsia="Lohit Hindi" w:cs="Times New Roman"/>
          <w:b w:val="false"/>
          <w:bCs w:val="false"/>
          <w:i w:val="false"/>
          <w:caps w:val="false"/>
          <w:smallCaps w:val="false"/>
          <w:color w:val="000000"/>
          <w:spacing w:val="0"/>
          <w:sz w:val="22"/>
          <w:szCs w:val="22"/>
          <w:lang w:val="en-GB" w:eastAsia="zh-CN" w:bidi="hi-IN"/>
        </w:rPr>
        <w:t xml:space="preserve">103 </w:t>
      </w:r>
      <w:r>
        <w:rPr>
          <w:rFonts w:cs="Times New Roman"/>
          <w:b w:val="false"/>
          <w:bCs w:val="false"/>
          <w:i w:val="false"/>
          <w:caps w:val="false"/>
          <w:smallCaps w:val="false"/>
          <w:color w:val="000000"/>
          <w:spacing w:val="0"/>
          <w:sz w:val="22"/>
          <w:szCs w:val="22"/>
        </w:rPr>
        <w:t>alleles currently and is not pan specific as of yet. This feature is still to be added.</w:t>
      </w:r>
    </w:p>
    <w:p>
      <w:pPr>
        <w:pStyle w:val="Normal"/>
        <w:spacing w:lineRule="auto" w:line="360"/>
        <w:jc w:val="both"/>
        <w:rPr/>
      </w:pPr>
      <w:r>
        <w:rPr>
          <w:rFonts w:cs="Times New Roman"/>
          <w:b w:val="false"/>
          <w:bCs w:val="false"/>
          <w:color w:val="000000"/>
          <w:sz w:val="22"/>
          <w:szCs w:val="22"/>
        </w:rPr>
        <w:t xml:space="preserve">To test performance, a separate evaluation set of peptides originally created by Kim et al. </w:t>
      </w:r>
      <w:r>
        <w:rPr>
          <w:rFonts w:cs="Times New Roman"/>
          <w:b w:val="false"/>
          <w:bCs w:val="false"/>
          <w:color w:val="000000"/>
          <w:position w:val="0"/>
          <w:sz w:val="22"/>
          <w:sz w:val="22"/>
          <w:szCs w:val="22"/>
          <w:vertAlign w:val="baseline"/>
        </w:rPr>
        <w:t>[22]</w:t>
      </w:r>
      <w:r>
        <w:rPr>
          <w:rFonts w:cs="Times New Roman"/>
          <w:b w:val="false"/>
          <w:bCs w:val="false"/>
          <w:color w:val="000000"/>
          <w:sz w:val="22"/>
          <w:szCs w:val="22"/>
        </w:rPr>
        <w:t>⁠ was downloaded from the IEDB. The training set sequences were subtracted from this leaving 25948 9-mer peptides. Only alleles for which there were more than 200 peptides were evaluated to give a reasonable performance estimate. This left 40 HLA alleles for testing. B</w:t>
      </w:r>
      <w:r>
        <w:rPr>
          <w:rFonts w:cs="Times New Roman"/>
          <w:b w:val="false"/>
          <w:bCs w:val="false"/>
          <w:i w:val="false"/>
          <w:caps w:val="false"/>
          <w:smallCaps w:val="false"/>
          <w:color w:val="000000"/>
          <w:spacing w:val="0"/>
          <w:sz w:val="22"/>
          <w:szCs w:val="22"/>
        </w:rPr>
        <w:t xml:space="preserve">oth the pearson correlation co-efficent and the roc auc metric (with a threshold of below 500nM set as a positive binder) were used as metrics. The results in Figure 1 show that our predictor gives similar performance to the others with this test set. It is not meant to provide a definitive benchmark since these other tools have been more comprehensively benchmarked elsewhere. In particular it can be hard to obtain a benchmark set of peptides that has not been used for training in </w:t>
      </w:r>
      <w:r>
        <w:rPr>
          <w:rFonts w:eastAsia="Lohit Hindi" w:cs="Times New Roman"/>
          <w:b w:val="false"/>
          <w:bCs w:val="false"/>
          <w:i w:val="false"/>
          <w:caps w:val="false"/>
          <w:smallCaps w:val="false"/>
          <w:color w:val="000000"/>
          <w:spacing w:val="0"/>
          <w:sz w:val="22"/>
          <w:szCs w:val="22"/>
          <w:lang w:val="en-GB" w:eastAsia="zh-CN" w:bidi="hi-IN"/>
        </w:rPr>
        <w:t>one or more</w:t>
      </w:r>
      <w:r>
        <w:rPr>
          <w:rFonts w:cs="Times New Roman"/>
          <w:b w:val="false"/>
          <w:bCs w:val="false"/>
          <w:i w:val="false"/>
          <w:caps w:val="false"/>
          <w:smallCaps w:val="false"/>
          <w:color w:val="000000"/>
          <w:spacing w:val="0"/>
          <w:sz w:val="22"/>
          <w:szCs w:val="22"/>
        </w:rPr>
        <w:t xml:space="preserve"> of the models. </w:t>
      </w:r>
    </w:p>
    <w:p>
      <w:pPr>
        <w:pStyle w:val="Normal"/>
        <w:spacing w:lineRule="auto" w:line="360"/>
        <w:jc w:val="both"/>
        <w:rPr/>
      </w:pPr>
      <w:r>
        <w:rPr>
          <w:rFonts w:cs="Times New Roman"/>
          <w:b w:val="false"/>
          <w:bCs w:val="false"/>
          <w:i w:val="false"/>
          <w:caps w:val="false"/>
          <w:smallCaps w:val="false"/>
          <w:color w:val="000000"/>
          <w:spacing w:val="0"/>
          <w:sz w:val="22"/>
          <w:szCs w:val="22"/>
        </w:rPr>
        <w:t>In practical use this predictor can be run directly from the API or command line without installing any other program. Models are trained once as needed for each allele/length combination using the current installed versions of scikit-learn and joblib. Once trained each model is saved and can be re-used. Training only takes a matter of seconds for each model.</w:t>
      </w:r>
    </w:p>
    <w:p>
      <w:pPr>
        <w:pStyle w:val="Normal"/>
        <w:spacing w:lineRule="auto" w:line="360"/>
        <w:jc w:val="both"/>
        <w:rPr>
          <w:rFonts w:ascii="Lato" w:hAnsi="Lato" w:cs="Times New Roman"/>
          <w:b w:val="false"/>
          <w:b w:val="false"/>
          <w:bCs w:val="false"/>
          <w:i w:val="false"/>
          <w:i w:val="false"/>
          <w:caps w:val="false"/>
          <w:smallCaps w:val="false"/>
          <w:color w:val="000000"/>
          <w:spacing w:val="0"/>
          <w:sz w:val="22"/>
          <w:szCs w:val="22"/>
        </w:rPr>
      </w:pPr>
      <w:r>
        <w:rPr>
          <w:rFonts w:cs="Times New Roman"/>
          <w:b w:val="false"/>
          <w:bCs w:val="false"/>
          <w:i w:val="false"/>
          <w:caps w:val="false"/>
          <w:smallCaps w:val="false"/>
          <w:color w:val="000000"/>
          <w:spacing w:val="0"/>
          <w:sz w:val="22"/>
          <w:szCs w:val="22"/>
        </w:rPr>
      </w:r>
    </w:p>
    <w:p>
      <w:pPr>
        <w:pStyle w:val="Normal"/>
        <w:spacing w:lineRule="auto" w:line="360"/>
        <w:jc w:val="center"/>
        <w:rPr/>
      </w:pPr>
      <w:r>
        <w:rPr/>
        <w:drawing>
          <wp:inline distT="0" distB="0" distL="0" distR="0">
            <wp:extent cx="4762500" cy="952500"/>
            <wp:effectExtent l="0" t="0" r="0" b="0"/>
            <wp:docPr id="1" name="Image4"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4" descr=""/>
                    <pic:cNvPicPr>
                      <a:picLocks noChangeAspect="1" noChangeArrowheads="1"/>
                    </pic:cNvPicPr>
                  </pic:nvPicPr>
                  <pic:blipFill>
                    <a:blip r:embed="rId4"/>
                    <a:stretch>
                      <a:fillRect/>
                    </a:stretch>
                  </pic:blipFill>
                  <pic:spPr bwMode="auto">
                    <a:xfrm>
                      <a:off x="0" y="0"/>
                      <a:ext cx="4762500" cy="952500"/>
                    </a:xfrm>
                    <a:prstGeom prst="rect">
                      <a:avLst/>
                    </a:prstGeom>
                  </pic:spPr>
                </pic:pic>
              </a:graphicData>
            </a:graphic>
          </wp:inline>
        </w:drawing>
      </w:r>
    </w:p>
    <w:p>
      <w:pPr>
        <w:pStyle w:val="Figure"/>
        <w:rPr/>
      </w:pPr>
      <w:r>
        <w:rPr>
          <w:rFonts w:cs="Times New Roman"/>
          <w:b w:val="false"/>
          <w:bCs w:val="false"/>
          <w:caps w:val="false"/>
          <w:smallCaps w:val="false"/>
          <w:color w:val="000000"/>
          <w:spacing w:val="0"/>
          <w:sz w:val="22"/>
          <w:szCs w:val="22"/>
        </w:rPr>
        <w:t xml:space="preserve">Figure </w:t>
      </w:r>
      <w:r>
        <w:rPr>
          <w:rFonts w:cs="Times New Roman"/>
          <w:b w:val="false"/>
          <w:bCs w:val="false"/>
          <w:caps w:val="false"/>
          <w:smallCaps w:val="false"/>
          <w:color w:val="000000"/>
          <w:spacing w:val="0"/>
          <w:sz w:val="22"/>
          <w:szCs w:val="22"/>
        </w:rPr>
        <w:fldChar w:fldCharType="begin"/>
      </w:r>
      <w:r>
        <w:instrText> SEQ Figure \* ARABIC </w:instrText>
      </w:r>
      <w:r>
        <w:fldChar w:fldCharType="separate"/>
      </w:r>
      <w:r>
        <w:t>1</w:t>
      </w:r>
      <w:r>
        <w:fldChar w:fldCharType="end"/>
      </w:r>
      <w:r>
        <w:rPr>
          <w:rFonts w:cs="Times New Roman"/>
          <w:b w:val="false"/>
          <w:bCs w:val="false"/>
          <w:caps w:val="false"/>
          <w:smallCaps w:val="false"/>
          <w:color w:val="000000"/>
          <w:spacing w:val="0"/>
          <w:sz w:val="22"/>
          <w:szCs w:val="22"/>
        </w:rPr>
        <w:t xml:space="preserve">: Performance of the basicmhc1 predictor compared to netMHCpan and MHCflurry for </w:t>
      </w:r>
      <w:r>
        <w:rPr>
          <w:rFonts w:eastAsia="DejaVu Sans" w:cs="Lohit Hindi"/>
          <w:b w:val="false"/>
          <w:bCs w:val="false"/>
          <w:caps w:val="false"/>
          <w:smallCaps w:val="false"/>
          <w:color w:val="00000A"/>
          <w:spacing w:val="0"/>
          <w:sz w:val="22"/>
          <w:szCs w:val="22"/>
          <w:lang w:val="en-GB" w:eastAsia="zh-CN" w:bidi="hi-IN"/>
        </w:rPr>
        <w:t>40</w:t>
      </w:r>
      <w:r>
        <w:rPr>
          <w:rFonts w:cs="Times New Roman"/>
          <w:b w:val="false"/>
          <w:bCs w:val="false"/>
          <w:caps w:val="false"/>
          <w:smallCaps w:val="false"/>
          <w:color w:val="000000"/>
          <w:spacing w:val="0"/>
          <w:sz w:val="22"/>
          <w:szCs w:val="22"/>
        </w:rPr>
        <w:t xml:space="preserve"> human alleles. (a) Mean Pearson r and (b) mean AUC scores over all alleles. Only alleles with evaluation data for over more than 200 peptides were used. This test dataset used 9-mer peptides only.</w:t>
      </w:r>
    </w:p>
    <w:p>
      <w:pPr>
        <w:pStyle w:val="Normal"/>
        <w:spacing w:lineRule="auto" w:line="360"/>
        <w:jc w:val="both"/>
        <w:rPr>
          <w:rFonts w:ascii="Lato" w:hAnsi="Lato"/>
          <w:b/>
          <w:b/>
          <w:bCs/>
          <w:i w:val="false"/>
          <w:i w:val="false"/>
          <w:caps w:val="false"/>
          <w:smallCaps w:val="false"/>
          <w:color w:val="000000"/>
          <w:spacing w:val="0"/>
          <w:sz w:val="22"/>
          <w:szCs w:val="22"/>
        </w:rPr>
      </w:pPr>
      <w:r>
        <w:rPr>
          <w:b/>
          <w:bCs/>
          <w:i w:val="false"/>
          <w:caps w:val="false"/>
          <w:smallCaps w:val="false"/>
          <w:color w:val="000000"/>
          <w:spacing w:val="0"/>
          <w:sz w:val="22"/>
          <w:szCs w:val="22"/>
        </w:rPr>
      </w:r>
    </w:p>
    <w:p>
      <w:pPr>
        <w:pStyle w:val="Heading1"/>
        <w:rPr>
          <w:rFonts w:ascii="Lato" w:hAnsi="Lato"/>
        </w:rPr>
      </w:pPr>
      <w:r>
        <w:rPr/>
        <w:t>Results</w:t>
      </w:r>
    </w:p>
    <w:p>
      <w:pPr>
        <w:pStyle w:val="Normal"/>
        <w:spacing w:lineRule="auto" w:line="360"/>
        <w:jc w:val="both"/>
        <w:rPr/>
      </w:pPr>
      <w:r>
        <w:rPr>
          <w:b w:val="false"/>
          <w:i w:val="false"/>
          <w:caps w:val="false"/>
          <w:smallCaps w:val="false"/>
          <w:color w:val="000000"/>
          <w:spacing w:val="0"/>
          <w:sz w:val="22"/>
          <w:szCs w:val="22"/>
        </w:rPr>
        <w:t xml:space="preserve">In the following we use several examples to illustrate the use of this package </w:t>
      </w:r>
      <w:r>
        <w:rPr>
          <w:rFonts w:eastAsia="Lohit Hindi" w:cs="Lohit Hindi"/>
          <w:b w:val="false"/>
          <w:i w:val="false"/>
          <w:caps w:val="false"/>
          <w:smallCaps w:val="false"/>
          <w:color w:val="000000"/>
          <w:spacing w:val="0"/>
          <w:sz w:val="22"/>
          <w:szCs w:val="22"/>
          <w:lang w:val="en-GB" w:eastAsia="zh-CN" w:bidi="hi-IN"/>
        </w:rPr>
        <w:t xml:space="preserve">in </w:t>
      </w:r>
      <w:r>
        <w:rPr>
          <w:b w:val="false"/>
          <w:i w:val="false"/>
          <w:caps w:val="false"/>
          <w:smallCaps w:val="false"/>
          <w:color w:val="000000"/>
          <w:spacing w:val="0"/>
          <w:sz w:val="22"/>
          <w:szCs w:val="22"/>
        </w:rPr>
        <w:t>practice with real data. The</w:t>
      </w:r>
      <w:r>
        <w:rPr>
          <w:rFonts w:eastAsia="Lohit Hindi" w:cs="Lohit Hindi"/>
          <w:b w:val="false"/>
          <w:i w:val="false"/>
          <w:caps w:val="false"/>
          <w:smallCaps w:val="false"/>
          <w:color w:val="000000"/>
          <w:spacing w:val="0"/>
          <w:sz w:val="22"/>
          <w:szCs w:val="22"/>
          <w:lang w:val="en-GB" w:eastAsia="zh-CN" w:bidi="hi-IN"/>
        </w:rPr>
        <w:t>se are</w:t>
      </w:r>
      <w:r>
        <w:rPr>
          <w:b w:val="false"/>
          <w:i w:val="false"/>
          <w:caps w:val="false"/>
          <w:smallCaps w:val="false"/>
          <w:color w:val="000000"/>
          <w:spacing w:val="0"/>
          <w:sz w:val="22"/>
          <w:szCs w:val="22"/>
        </w:rPr>
        <w:t xml:space="preserve"> available as Jupyter notebooks stored at </w:t>
      </w:r>
      <w:hyperlink r:id="rId5">
        <w:r>
          <w:rPr>
            <w:rStyle w:val="InternetLink"/>
            <w:sz w:val="22"/>
            <w:szCs w:val="22"/>
          </w:rPr>
          <w:t>https://github.com/dmnfarrell/epitopepredict/tree/master/examples</w:t>
        </w:r>
      </w:hyperlink>
      <w:r>
        <w:rPr>
          <w:b w:val="false"/>
          <w:i w:val="false"/>
          <w:caps w:val="false"/>
          <w:smallCaps w:val="false"/>
          <w:color w:val="000000"/>
          <w:spacing w:val="0"/>
          <w:sz w:val="22"/>
          <w:szCs w:val="22"/>
        </w:rPr>
        <w:t xml:space="preserve">. They are also archived permanently on Zenodo and the latest version can be found using the DOI: </w:t>
      </w:r>
      <w:r>
        <w:rPr>
          <w:sz w:val="22"/>
          <w:szCs w:val="22"/>
        </w:rPr>
        <w:t xml:space="preserve">10.5281/zenodo.593878. Some of these notebooks are also reproducible </w:t>
      </w:r>
      <w:r>
        <w:rPr>
          <w:rFonts w:eastAsia="Lohit Hindi" w:cs="Lohit Hindi"/>
          <w:color w:val="000000"/>
          <w:sz w:val="22"/>
          <w:szCs w:val="22"/>
          <w:lang w:val="en-GB" w:eastAsia="zh-CN" w:bidi="hi-IN"/>
        </w:rPr>
        <w:t>using</w:t>
      </w:r>
      <w:r>
        <w:rPr>
          <w:sz w:val="22"/>
          <w:szCs w:val="22"/>
        </w:rPr>
        <w:t xml:space="preserve"> the epitopepredict examples </w:t>
      </w:r>
      <w:r>
        <w:rPr>
          <w:rFonts w:eastAsia="Lohit Hindi" w:cs="Lohit Hindi"/>
          <w:color w:val="000000"/>
          <w:sz w:val="22"/>
          <w:szCs w:val="22"/>
          <w:lang w:val="en-GB" w:eastAsia="zh-CN" w:bidi="hi-IN"/>
        </w:rPr>
        <w:t>C</w:t>
      </w:r>
      <w:r>
        <w:rPr>
          <w:sz w:val="22"/>
          <w:szCs w:val="22"/>
        </w:rPr>
        <w:t xml:space="preserve">ode </w:t>
      </w:r>
      <w:r>
        <w:rPr>
          <w:rFonts w:eastAsia="Lohit Hindi" w:cs="Lohit Hindi"/>
          <w:color w:val="000000"/>
          <w:sz w:val="22"/>
          <w:szCs w:val="22"/>
          <w:lang w:val="en-GB" w:eastAsia="zh-CN" w:bidi="hi-IN"/>
        </w:rPr>
        <w:t>O</w:t>
      </w:r>
      <w:r>
        <w:rPr>
          <w:sz w:val="22"/>
          <w:szCs w:val="22"/>
        </w:rPr>
        <w:t xml:space="preserve">cean capsule (DOI: </w:t>
      </w:r>
      <w:r>
        <w:rPr>
          <w:b w:val="false"/>
          <w:i w:val="false"/>
          <w:caps w:val="false"/>
          <w:smallCaps w:val="false"/>
          <w:color w:val="000000"/>
          <w:spacing w:val="0"/>
          <w:sz w:val="22"/>
          <w:szCs w:val="22"/>
        </w:rPr>
        <w:t>10.24433/CO.5815986.v1).</w:t>
      </w:r>
    </w:p>
    <w:p>
      <w:pPr>
        <w:pStyle w:val="Normal"/>
        <w:spacing w:lineRule="auto" w:line="360"/>
        <w:jc w:val="both"/>
        <w:rPr>
          <w:rFonts w:ascii="Lato" w:hAnsi="Lato"/>
        </w:rPr>
      </w:pPr>
      <w:r>
        <w:rPr/>
      </w:r>
    </w:p>
    <w:p>
      <w:pPr>
        <w:pStyle w:val="Heading2"/>
        <w:rPr/>
      </w:pPr>
      <w:r>
        <w:rPr/>
        <w:t>Example 1: Predictions for selected antigens in Mycobacterium Tuberculosis – comparison with experimental data</w:t>
      </w:r>
    </w:p>
    <w:p>
      <w:pPr>
        <w:pStyle w:val="Normal"/>
        <w:spacing w:lineRule="auto" w:line="360"/>
        <w:jc w:val="both"/>
        <w:rPr>
          <w:rFonts w:ascii="Lato" w:hAnsi="Lato"/>
          <w:b w:val="false"/>
          <w:b w:val="false"/>
          <w:bCs w:val="false"/>
          <w:sz w:val="22"/>
          <w:szCs w:val="22"/>
        </w:rPr>
      </w:pPr>
      <w:r>
        <w:rPr>
          <w:b w:val="false"/>
          <w:bCs w:val="false"/>
          <w:sz w:val="22"/>
          <w:szCs w:val="22"/>
        </w:rPr>
      </w:r>
    </w:p>
    <w:p>
      <w:pPr>
        <w:pStyle w:val="Normal"/>
        <w:spacing w:lineRule="auto" w:line="360"/>
        <w:jc w:val="both"/>
        <w:rPr>
          <w:rFonts w:ascii="Lato" w:hAnsi="Lato"/>
        </w:rPr>
      </w:pPr>
      <w:r>
        <w:rPr>
          <w:rFonts w:eastAsia="Lohit Hindi" w:cs="Lohit Hindi"/>
          <w:b w:val="false"/>
          <w:bCs w:val="false"/>
          <w:color w:val="000000"/>
          <w:sz w:val="22"/>
          <w:szCs w:val="22"/>
          <w:lang w:val="en-GB" w:eastAsia="zh-CN" w:bidi="hi-IN"/>
        </w:rPr>
        <w:t xml:space="preserve">A typical use of epitope prediction tools is to select a candidate list of peptides for testing from a large sequence space representing multiple potential antigens. This example provides a comparison of the three different selection methods in epitopepredict using a realistic example. It uses a set of known CD4 epitopes discovered in a study by measuring IFN-γ T cell responses to M. tuberculosis (Mtb) antigens in a healthy South African cohort </w:t>
      </w:r>
      <w:r>
        <w:rPr>
          <w:rFonts w:eastAsia="Lohit Hindi" w:cs="Lohit Hindi"/>
          <w:b w:val="false"/>
          <w:bCs w:val="false"/>
          <w:color w:val="000000"/>
          <w:position w:val="0"/>
          <w:sz w:val="22"/>
          <w:sz w:val="22"/>
          <w:szCs w:val="22"/>
          <w:vertAlign w:val="baseline"/>
          <w:lang w:val="en-GB" w:eastAsia="zh-CN" w:bidi="hi-IN"/>
        </w:rPr>
        <w:t>[23]</w:t>
      </w:r>
      <w:r>
        <w:rPr>
          <w:rFonts w:eastAsia="Lohit Hindi" w:cs="Lohit Hindi"/>
          <w:b w:val="false"/>
          <w:bCs w:val="false"/>
          <w:color w:val="000000"/>
          <w:sz w:val="22"/>
          <w:szCs w:val="22"/>
          <w:lang w:val="en-GB" w:eastAsia="zh-CN" w:bidi="hi-IN"/>
        </w:rPr>
        <w:t xml:space="preserve">⁠. The test data is available as supplementary tables in that paper. It comprises 75 15-mer epitopes selected from a set of known Mtb antigens. Here we perform a simple benchmark to find the percentage coverage of predicted MHC-II binders in two predictors, netMHCIIpan and Tepitope, using the three threshold methods for selecting promiscuous binders described above. These are then compared across a selection of cut-offs that each yield a certain number of binders. Ideally we would want to produce as small a number of predicted binders as possible to reduce the number to be experimentally tested. </w:t>
      </w:r>
    </w:p>
    <w:p>
      <w:pPr>
        <w:pStyle w:val="Normal"/>
        <w:spacing w:lineRule="auto" w:line="360"/>
        <w:jc w:val="both"/>
        <w:rPr>
          <w:rFonts w:ascii="Lato" w:hAnsi="Lato"/>
        </w:rPr>
      </w:pPr>
      <w:r>
        <w:rPr>
          <w:rFonts w:eastAsia="Lohit Hindi" w:cs="Lohit Hindi"/>
          <w:b w:val="false"/>
          <w:bCs w:val="false"/>
          <w:color w:val="000000"/>
          <w:sz w:val="22"/>
          <w:szCs w:val="22"/>
          <w:lang w:val="en-GB" w:eastAsia="zh-CN" w:bidi="hi-IN"/>
        </w:rPr>
        <w:t xml:space="preserve">The sequences of all 29 proteins represented in the target set where retrieved and split into 15-mers. Then predictions were made for each of the 27 alleles in the target population tested in the study. This produces a list of </w:t>
      </w:r>
      <w:r>
        <w:rPr>
          <w:rFonts w:eastAsia="Lohit Hindi" w:cs="Lohit Hindi"/>
          <w:b w:val="false"/>
          <w:bCs w:val="false"/>
          <w:i w:val="false"/>
          <w:caps w:val="false"/>
          <w:smallCaps w:val="false"/>
          <w:color w:val="000000"/>
          <w:spacing w:val="0"/>
          <w:sz w:val="22"/>
          <w:szCs w:val="22"/>
          <w:lang w:val="en-GB" w:eastAsia="zh-CN" w:bidi="hi-IN"/>
        </w:rPr>
        <w:t>9,299 peptides predicted for each allele. With epitopepredict  selection of promiscuous binders can be done easily with a single command. Binders promiscious above thresholds in at least five alleles were selected.</w:t>
      </w:r>
    </w:p>
    <w:p>
      <w:pPr>
        <w:pStyle w:val="Normal"/>
        <w:spacing w:lineRule="auto" w:line="360"/>
        <w:jc w:val="both"/>
        <w:rPr/>
      </w:pPr>
      <w:r>
        <w:rPr>
          <w:rFonts w:eastAsia="Lohit Hindi" w:cs="Lohit Hindi"/>
          <w:b w:val="false"/>
          <w:bCs w:val="false"/>
          <w:color w:val="000000"/>
          <w:sz w:val="22"/>
          <w:szCs w:val="22"/>
          <w:lang w:val="en-GB" w:eastAsia="zh-CN" w:bidi="hi-IN"/>
        </w:rPr>
        <w:t>The results are shown in Figure 2, with the plots showing the percentage of experimental peptides covered versus the number of predicted binders, corresponding to a certain cut-off in each method. It is seen that the ‘rank’ method is superior in both cases as it achieves a higher coverage with the lowest number of binders. All the curves level off at about 80% coverage. The ‘rank’ method may work better in this case partly because some of the epitopes were originally selected by prediction algorithms using a similar approach.</w:t>
      </w:r>
    </w:p>
    <w:p>
      <w:pPr>
        <w:pStyle w:val="Normal"/>
        <w:spacing w:lineRule="auto" w:line="360"/>
        <w:jc w:val="both"/>
        <w:rPr>
          <w:rFonts w:ascii="Lato" w:hAnsi="Lato" w:eastAsia="Lohit Hindi" w:cs="Lohit Hindi"/>
          <w:b w:val="false"/>
          <w:b w:val="false"/>
          <w:bCs w:val="false"/>
          <w:color w:val="000000"/>
          <w:sz w:val="22"/>
          <w:szCs w:val="22"/>
          <w:lang w:val="en-GB" w:eastAsia="zh-CN" w:bidi="hi-IN"/>
        </w:rPr>
      </w:pPr>
      <w:r>
        <w:rPr>
          <w:rFonts w:eastAsia="Lohit Hindi" w:cs="Lohit Hindi"/>
          <w:b w:val="false"/>
          <w:bCs w:val="false"/>
          <w:color w:val="000000"/>
          <w:sz w:val="22"/>
          <w:szCs w:val="22"/>
          <w:lang w:val="en-GB" w:eastAsia="zh-CN" w:bidi="hi-IN"/>
        </w:rPr>
      </w:r>
    </w:p>
    <w:p>
      <w:pPr>
        <w:pStyle w:val="Figure"/>
        <w:spacing w:lineRule="auto" w:line="360"/>
        <w:jc w:val="center"/>
        <w:rPr>
          <w:rFonts w:ascii="Lato" w:hAnsi="Lato"/>
          <w:b/>
          <w:b/>
          <w:bCs/>
          <w:sz w:val="22"/>
          <w:szCs w:val="22"/>
        </w:rPr>
      </w:pPr>
      <w:r>
        <w:rPr/>
        <w:drawing>
          <wp:inline distT="0" distB="0" distL="0" distR="0">
            <wp:extent cx="4762500" cy="952500"/>
            <wp:effectExtent l="0" t="0" r="0" b="0"/>
            <wp:docPr id="2" name="Image3"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3" descr=""/>
                    <pic:cNvPicPr>
                      <a:picLocks noChangeAspect="1" noChangeArrowheads="1"/>
                    </pic:cNvPicPr>
                  </pic:nvPicPr>
                  <pic:blipFill>
                    <a:blip r:embed="rId6"/>
                    <a:stretch>
                      <a:fillRect/>
                    </a:stretch>
                  </pic:blipFill>
                  <pic:spPr bwMode="auto">
                    <a:xfrm>
                      <a:off x="0" y="0"/>
                      <a:ext cx="4762500" cy="952500"/>
                    </a:xfrm>
                    <a:prstGeom prst="rect">
                      <a:avLst/>
                    </a:prstGeom>
                  </pic:spPr>
                </pic:pic>
              </a:graphicData>
            </a:graphic>
          </wp:inline>
        </w:drawing>
      </w:r>
    </w:p>
    <w:p>
      <w:pPr>
        <w:pStyle w:val="Figure"/>
        <w:rPr/>
      </w:pPr>
      <w:r>
        <w:rPr/>
        <w:t xml:space="preserve">Figure </w:t>
      </w:r>
      <w:r>
        <w:rPr/>
        <w:fldChar w:fldCharType="begin"/>
      </w:r>
      <w:r>
        <w:instrText> SEQ Figure \* ARABIC </w:instrText>
      </w:r>
      <w:r>
        <w:fldChar w:fldCharType="separate"/>
      </w:r>
      <w:r>
        <w:t>2</w:t>
      </w:r>
      <w:r>
        <w:fldChar w:fldCharType="end"/>
      </w:r>
      <w:r>
        <w:rPr/>
        <w:t>: Performance of three binder selection methods showing the percentage coverage of experimental positive peptides by predicted binders at different cutoff levels. The higher the cutoff the more binders are predicted until the curves level off. Results are shown for (a) netMHCIIpan and (b) Tepitope.</w:t>
      </w:r>
    </w:p>
    <w:p>
      <w:pPr>
        <w:pStyle w:val="Heading2"/>
        <w:rPr/>
      </w:pPr>
      <w:r>
        <w:rPr>
          <w:sz w:val="22"/>
          <w:szCs w:val="22"/>
        </w:rPr>
        <w:t xml:space="preserve">Example </w:t>
      </w:r>
      <w:r>
        <w:rPr>
          <w:rFonts w:eastAsia="Lohit Hindi" w:cs="Lohit Hindi"/>
          <w:color w:val="000000"/>
          <w:sz w:val="22"/>
          <w:szCs w:val="22"/>
          <w:lang w:val="en-GB" w:eastAsia="zh-CN" w:bidi="hi-IN"/>
        </w:rPr>
        <w:t>2</w:t>
      </w:r>
      <w:r>
        <w:rPr>
          <w:sz w:val="22"/>
          <w:szCs w:val="22"/>
        </w:rPr>
        <w:t>: Scanning the proteome of Mycobacterium bovis for CD4+ epitopes</w:t>
      </w:r>
    </w:p>
    <w:p>
      <w:pPr>
        <w:pStyle w:val="Normal"/>
        <w:spacing w:lineRule="auto" w:line="360"/>
        <w:jc w:val="both"/>
        <w:rPr>
          <w:rFonts w:ascii="Lato" w:hAnsi="Lato"/>
          <w:sz w:val="22"/>
          <w:szCs w:val="22"/>
        </w:rPr>
      </w:pPr>
      <w:r>
        <w:rPr>
          <w:sz w:val="22"/>
          <w:szCs w:val="22"/>
        </w:rPr>
      </w:r>
    </w:p>
    <w:p>
      <w:pPr>
        <w:pStyle w:val="Normal"/>
        <w:spacing w:lineRule="auto" w:line="360"/>
        <w:jc w:val="both"/>
        <w:rPr>
          <w:rFonts w:ascii="Lato" w:hAnsi="Lato"/>
        </w:rPr>
      </w:pPr>
      <w:r>
        <w:rPr>
          <w:rFonts w:eastAsia="Lohit Hindi" w:cs="Lohit Hindi"/>
          <w:color w:val="000000"/>
          <w:sz w:val="22"/>
          <w:szCs w:val="22"/>
          <w:lang w:val="en-GB" w:eastAsia="zh-CN" w:bidi="hi-IN"/>
        </w:rPr>
        <w:t>W</w:t>
      </w:r>
      <w:r>
        <w:rPr>
          <w:color w:val="000000"/>
          <w:sz w:val="22"/>
          <w:szCs w:val="22"/>
        </w:rPr>
        <w:t xml:space="preserve">e have previously used this package to </w:t>
      </w:r>
      <w:r>
        <w:rPr>
          <w:i w:val="false"/>
          <w:caps w:val="false"/>
          <w:smallCaps w:val="false"/>
          <w:color w:val="000000"/>
          <w:spacing w:val="0"/>
          <w:sz w:val="22"/>
          <w:szCs w:val="22"/>
        </w:rPr>
        <w:t xml:space="preserve">prioritise </w:t>
      </w:r>
      <w:r>
        <w:rPr>
          <w:color w:val="000000"/>
          <w:sz w:val="22"/>
          <w:szCs w:val="22"/>
        </w:rPr>
        <w:t>CD4+ epitopes in the proteome of M. bovis (</w:t>
      </w:r>
      <w:r>
        <w:rPr>
          <w:i/>
          <w:iCs/>
          <w:caps w:val="false"/>
          <w:smallCaps w:val="false"/>
          <w:color w:val="000000"/>
          <w:spacing w:val="0"/>
          <w:sz w:val="22"/>
          <w:szCs w:val="22"/>
        </w:rPr>
        <w:t>Mycobacterium tuberculosis</w:t>
      </w:r>
      <w:r>
        <w:rPr>
          <w:i w:val="false"/>
          <w:caps w:val="false"/>
          <w:smallCaps w:val="false"/>
          <w:color w:val="000000"/>
          <w:spacing w:val="0"/>
          <w:sz w:val="22"/>
          <w:szCs w:val="22"/>
        </w:rPr>
        <w:t xml:space="preserve"> variant bovis AF2122/97) for potential use in novel antigens for bovine tuberculosis </w:t>
      </w:r>
      <w:r>
        <w:rPr>
          <w:i w:val="false"/>
          <w:caps w:val="false"/>
          <w:smallCaps w:val="false"/>
          <w:color w:val="000000"/>
          <w:spacing w:val="0"/>
          <w:position w:val="0"/>
          <w:sz w:val="22"/>
          <w:sz w:val="22"/>
          <w:szCs w:val="22"/>
          <w:vertAlign w:val="baseline"/>
        </w:rPr>
        <w:t>[24]</w:t>
      </w:r>
      <w:r>
        <w:rPr>
          <w:i w:val="false"/>
          <w:caps w:val="false"/>
          <w:smallCaps w:val="false"/>
          <w:color w:val="000000"/>
          <w:spacing w:val="0"/>
          <w:sz w:val="22"/>
          <w:szCs w:val="22"/>
        </w:rPr>
        <w:t xml:space="preserve">⁠. The results are documented in the paper. Briefly, we performed binding predictions over the entire M. </w:t>
      </w:r>
      <w:r>
        <w:rPr>
          <w:i/>
          <w:iCs/>
          <w:caps w:val="false"/>
          <w:smallCaps w:val="false"/>
          <w:color w:val="000000"/>
          <w:spacing w:val="0"/>
          <w:sz w:val="22"/>
          <w:szCs w:val="22"/>
        </w:rPr>
        <w:t>Bovis</w:t>
      </w:r>
      <w:r>
        <w:rPr>
          <w:i w:val="false"/>
          <w:caps w:val="false"/>
          <w:smallCaps w:val="false"/>
          <w:color w:val="000000"/>
          <w:spacing w:val="0"/>
          <w:sz w:val="22"/>
          <w:szCs w:val="22"/>
        </w:rPr>
        <w:t xml:space="preserve"> proteome using t</w:t>
      </w:r>
      <w:r>
        <w:rPr>
          <w:rFonts w:eastAsia="Lohit Hindi" w:cs="Lohit Hindi"/>
          <w:i w:val="false"/>
          <w:caps w:val="false"/>
          <w:smallCaps w:val="false"/>
          <w:color w:val="000000"/>
          <w:spacing w:val="0"/>
          <w:sz w:val="22"/>
          <w:szCs w:val="22"/>
          <w:lang w:val="en-GB" w:eastAsia="zh-CN" w:bidi="hi-IN"/>
        </w:rPr>
        <w:t>wo</w:t>
      </w:r>
      <w:r>
        <w:rPr>
          <w:i w:val="false"/>
          <w:caps w:val="false"/>
          <w:smallCaps w:val="false"/>
          <w:color w:val="000000"/>
          <w:spacing w:val="0"/>
          <w:sz w:val="22"/>
          <w:szCs w:val="22"/>
        </w:rPr>
        <w:t xml:space="preserve"> different binding predictors, netMHCIIPan </w:t>
      </w:r>
      <w:r>
        <w:rPr>
          <w:i w:val="false"/>
          <w:caps w:val="false"/>
          <w:smallCaps w:val="false"/>
          <w:color w:val="000000"/>
          <w:spacing w:val="0"/>
          <w:position w:val="0"/>
          <w:sz w:val="22"/>
          <w:sz w:val="22"/>
          <w:szCs w:val="22"/>
          <w:vertAlign w:val="baseline"/>
        </w:rPr>
        <w:t>[19]</w:t>
      </w:r>
      <w:r>
        <w:rPr>
          <w:i w:val="false"/>
          <w:caps w:val="false"/>
          <w:smallCaps w:val="false"/>
          <w:color w:val="000000"/>
          <w:spacing w:val="0"/>
          <w:sz w:val="22"/>
          <w:szCs w:val="22"/>
        </w:rPr>
        <w:t xml:space="preserve">⁠, Tepitope </w:t>
      </w:r>
      <w:r>
        <w:rPr>
          <w:i w:val="false"/>
          <w:caps w:val="false"/>
          <w:smallCaps w:val="false"/>
          <w:color w:val="000000"/>
          <w:spacing w:val="0"/>
          <w:position w:val="0"/>
          <w:sz w:val="22"/>
          <w:sz w:val="22"/>
          <w:szCs w:val="22"/>
          <w:vertAlign w:val="baseline"/>
        </w:rPr>
        <w:t>[13]</w:t>
      </w:r>
      <w:r>
        <w:rPr>
          <w:i w:val="false"/>
          <w:caps w:val="false"/>
          <w:smallCaps w:val="false"/>
          <w:color w:val="000000"/>
          <w:spacing w:val="0"/>
          <w:sz w:val="22"/>
          <w:szCs w:val="22"/>
        </w:rPr>
        <w:t xml:space="preserve">⁠. For each set of results we found only promiscuous binders above an allele specific cutoff using </w:t>
      </w:r>
      <w:r>
        <w:rPr>
          <w:rFonts w:eastAsia="Lohit Hindi" w:cs="Lohit Hindi"/>
          <w:i w:val="false"/>
          <w:caps w:val="false"/>
          <w:smallCaps w:val="false"/>
          <w:color w:val="000000"/>
          <w:spacing w:val="0"/>
          <w:sz w:val="22"/>
          <w:szCs w:val="22"/>
          <w:lang w:val="en-GB" w:eastAsia="zh-CN" w:bidi="hi-IN"/>
        </w:rPr>
        <w:t>the ‘global’ selection strategy.</w:t>
      </w:r>
      <w:r>
        <w:rPr>
          <w:rFonts w:eastAsia="Lohit Hindi" w:cs="Times New Roman"/>
          <w:i w:val="false"/>
          <w:caps w:val="false"/>
          <w:smallCaps w:val="false"/>
          <w:color w:val="000000"/>
          <w:spacing w:val="0"/>
          <w:sz w:val="22"/>
          <w:szCs w:val="22"/>
          <w:lang w:val="en-GB" w:eastAsia="zh-CN" w:bidi="hi-IN"/>
        </w:rPr>
        <w:t xml:space="preserve"> In addition clusters of binders were detected to find areas of</w:t>
      </w:r>
      <w:r>
        <w:rPr>
          <w:rFonts w:cs="Times New Roman"/>
          <w:i w:val="false"/>
          <w:caps w:val="false"/>
          <w:smallCaps w:val="false"/>
          <w:color w:val="000000"/>
          <w:spacing w:val="0"/>
          <w:sz w:val="22"/>
          <w:szCs w:val="22"/>
        </w:rPr>
        <w:t xml:space="preserve"> high binder density in each sequence. The assumption underlying this method is that ~20mer peptides covering these regions will be more likely to yield at least one true positive epitope and hence elicit a T-cell response. The results are a set of clusters for both prediction methods, ranked by number of binders per unit length. This has also been referred to as the ‘</w:t>
      </w:r>
      <w:bookmarkStart w:id="28" w:name="__Fieldmark__1072_1541776324"/>
      <w:bookmarkStart w:id="29" w:name="__Fieldmark__357_1061676112"/>
      <w:bookmarkEnd w:id="28"/>
      <w:bookmarkEnd w:id="29"/>
      <w:r>
        <w:rPr>
          <w:rFonts w:cs="Times New Roman"/>
          <w:i/>
          <w:caps w:val="false"/>
          <w:smallCaps w:val="false"/>
          <w:color w:val="000000"/>
          <w:spacing w:val="0"/>
          <w:sz w:val="22"/>
          <w:szCs w:val="22"/>
        </w:rPr>
        <w:t>epitope density’</w:t>
      </w:r>
      <w:r>
        <w:rPr>
          <w:rFonts w:cs="Times New Roman"/>
          <w:i w:val="false"/>
          <w:caps w:val="false"/>
          <w:smallCaps w:val="false"/>
          <w:color w:val="000000"/>
          <w:spacing w:val="0"/>
          <w:sz w:val="22"/>
          <w:szCs w:val="22"/>
        </w:rPr>
        <w:t xml:space="preserve"> method </w:t>
      </w:r>
      <w:r>
        <w:rPr>
          <w:rFonts w:cs="Times New Roman"/>
          <w:i w:val="false"/>
          <w:caps w:val="false"/>
          <w:smallCaps w:val="false"/>
          <w:color w:val="000000"/>
          <w:spacing w:val="0"/>
          <w:position w:val="0"/>
          <w:sz w:val="22"/>
          <w:sz w:val="22"/>
          <w:szCs w:val="22"/>
          <w:vertAlign w:val="baseline"/>
        </w:rPr>
        <w:t>[25]</w:t>
      </w:r>
      <w:r>
        <w:rPr>
          <w:rFonts w:cs="Times New Roman"/>
          <w:i w:val="false"/>
          <w:caps w:val="false"/>
          <w:smallCaps w:val="false"/>
          <w:color w:val="000000"/>
          <w:spacing w:val="0"/>
          <w:sz w:val="22"/>
          <w:szCs w:val="22"/>
        </w:rPr>
        <w:t xml:space="preserve">⁠. We further contrasted this cluster selection with the more conventional ranking of top scoring binders. </w:t>
      </w:r>
      <w:r>
        <w:rPr>
          <w:rFonts w:eastAsia="Lohit Hindi" w:cs="Lohit Hindi"/>
          <w:b w:val="false"/>
          <w:bCs w:val="false"/>
          <w:i w:val="false"/>
          <w:caps w:val="false"/>
          <w:smallCaps w:val="false"/>
          <w:color w:val="000000"/>
          <w:spacing w:val="0"/>
          <w:sz w:val="22"/>
          <w:szCs w:val="22"/>
          <w:lang w:val="en-GB" w:eastAsia="zh-CN" w:bidi="hi-IN"/>
        </w:rPr>
        <w:t xml:space="preserve">We also included random non high scoring peptides as a control. </w:t>
      </w:r>
      <w:r>
        <w:rPr>
          <w:rFonts w:cs="Times New Roman"/>
          <w:i w:val="false"/>
          <w:caps w:val="false"/>
          <w:smallCaps w:val="false"/>
          <w:color w:val="000000"/>
          <w:spacing w:val="0"/>
          <w:sz w:val="22"/>
          <w:szCs w:val="22"/>
        </w:rPr>
        <w:t>20-mer peptides derived from these sets were synthesized and tested for IFN</w:t>
      </w:r>
      <w:r>
        <w:rPr>
          <w:rFonts w:eastAsia="Lohit Hindi" w:cs="Lohit Hindi"/>
          <w:b w:val="false"/>
          <w:bCs w:val="false"/>
          <w:i w:val="false"/>
          <w:caps w:val="false"/>
          <w:smallCaps w:val="false"/>
          <w:color w:val="000000"/>
          <w:spacing w:val="0"/>
          <w:sz w:val="22"/>
          <w:szCs w:val="22"/>
          <w:lang w:val="en-GB" w:eastAsia="zh-CN" w:bidi="hi-IN"/>
        </w:rPr>
        <w:t>-γ responses in M.bovis naturally infected cattle. Approximately 24% out of 270 peptides had high responses (using known epitopes as the baseline response). The random controls had no responses above this threshold.</w:t>
      </w:r>
    </w:p>
    <w:p>
      <w:pPr>
        <w:pStyle w:val="Normal"/>
        <w:spacing w:lineRule="auto" w:line="360"/>
        <w:jc w:val="both"/>
        <w:rPr>
          <w:rFonts w:ascii="Lato" w:hAnsi="Lato"/>
        </w:rPr>
      </w:pPr>
      <w:r>
        <w:rPr>
          <w:i w:val="false"/>
          <w:caps w:val="false"/>
          <w:smallCaps w:val="false"/>
          <w:color w:val="000000"/>
          <w:spacing w:val="0"/>
          <w:sz w:val="22"/>
          <w:szCs w:val="22"/>
        </w:rPr>
        <w:t>Th</w:t>
      </w:r>
      <w:r>
        <w:rPr>
          <w:rFonts w:eastAsia="Lohit Hindi" w:cs="Lohit Hindi"/>
          <w:i w:val="false"/>
          <w:caps w:val="false"/>
          <w:smallCaps w:val="false"/>
          <w:color w:val="000000"/>
          <w:spacing w:val="0"/>
          <w:sz w:val="22"/>
          <w:szCs w:val="22"/>
          <w:lang w:val="en-GB" w:eastAsia="zh-CN" w:bidi="hi-IN"/>
        </w:rPr>
        <w:t xml:space="preserve">is </w:t>
      </w:r>
      <w:r>
        <w:rPr>
          <w:i w:val="false"/>
          <w:caps w:val="false"/>
          <w:smallCaps w:val="false"/>
          <w:color w:val="000000"/>
          <w:spacing w:val="0"/>
          <w:sz w:val="22"/>
          <w:szCs w:val="22"/>
        </w:rPr>
        <w:t>workflow was perfomed using an older version of this software. A newer and somewhat simplified form of the same analysis is now available as a notebook in the examples folder. Results from this output will be slightly different to our previous analysis since some of the extra steps have been removed but the methodology is the same.</w:t>
      </w:r>
    </w:p>
    <w:p>
      <w:pPr>
        <w:pStyle w:val="Normal"/>
        <w:spacing w:lineRule="auto" w:line="240"/>
        <w:jc w:val="left"/>
        <w:rPr>
          <w:rFonts w:ascii="Lato" w:hAnsi="Lato"/>
          <w:sz w:val="22"/>
          <w:szCs w:val="22"/>
        </w:rPr>
      </w:pPr>
      <w:r>
        <w:rPr>
          <w:sz w:val="22"/>
          <w:szCs w:val="22"/>
        </w:rPr>
      </w:r>
    </w:p>
    <w:p>
      <w:pPr>
        <w:pStyle w:val="Heading2"/>
        <w:rPr/>
      </w:pPr>
      <w:r>
        <w:rPr>
          <w:sz w:val="22"/>
          <w:szCs w:val="22"/>
        </w:rPr>
        <w:t>E</w:t>
      </w:r>
      <w:r>
        <w:rPr>
          <w:color w:val="000000"/>
          <w:sz w:val="22"/>
          <w:szCs w:val="22"/>
        </w:rPr>
        <w:t xml:space="preserve">xample </w:t>
      </w:r>
      <w:r>
        <w:rPr>
          <w:rFonts w:eastAsia="Lohit Hindi" w:cs="Lohit Hindi"/>
          <w:color w:val="000000"/>
          <w:sz w:val="22"/>
          <w:szCs w:val="22"/>
          <w:lang w:val="en-GB" w:eastAsia="zh-CN" w:bidi="hi-IN"/>
        </w:rPr>
        <w:t>3</w:t>
      </w:r>
      <w:r>
        <w:rPr>
          <w:color w:val="000000"/>
          <w:sz w:val="22"/>
          <w:szCs w:val="22"/>
        </w:rPr>
        <w:t xml:space="preserve">: </w:t>
      </w:r>
      <w:r>
        <w:rPr>
          <w:i w:val="false"/>
          <w:caps w:val="false"/>
          <w:smallCaps w:val="false"/>
          <w:color w:val="000000"/>
          <w:spacing w:val="0"/>
          <w:sz w:val="22"/>
          <w:szCs w:val="22"/>
        </w:rPr>
        <w:t>Predicting cross-reactive T cell epitopes in Sars-CoV-2</w:t>
      </w:r>
    </w:p>
    <w:p>
      <w:pPr>
        <w:pStyle w:val="Normal"/>
        <w:spacing w:lineRule="auto" w:line="360"/>
        <w:jc w:val="both"/>
        <w:rPr>
          <w:rFonts w:ascii="Lato" w:hAnsi="Lato"/>
          <w:b/>
          <w:b/>
          <w:bCs/>
          <w:i w:val="false"/>
          <w:i w:val="false"/>
          <w:caps w:val="false"/>
          <w:smallCaps w:val="false"/>
          <w:color w:val="000000"/>
          <w:spacing w:val="0"/>
          <w:sz w:val="22"/>
          <w:szCs w:val="22"/>
        </w:rPr>
      </w:pPr>
      <w:r>
        <w:rPr>
          <w:b/>
          <w:bCs/>
          <w:i w:val="false"/>
          <w:caps w:val="false"/>
          <w:smallCaps w:val="false"/>
          <w:color w:val="000000"/>
          <w:spacing w:val="0"/>
          <w:sz w:val="22"/>
          <w:szCs w:val="22"/>
        </w:rPr>
      </w:r>
    </w:p>
    <w:p>
      <w:pPr>
        <w:pStyle w:val="Normal"/>
        <w:spacing w:lineRule="auto" w:line="360"/>
        <w:jc w:val="both"/>
        <w:rPr>
          <w:rFonts w:ascii="Lato" w:hAnsi="Lato"/>
        </w:rPr>
      </w:pPr>
      <w:r>
        <w:rPr>
          <w:b w:val="false"/>
          <w:bCs/>
          <w:i w:val="false"/>
          <w:caps w:val="false"/>
          <w:smallCaps w:val="false"/>
          <w:color w:val="000000"/>
          <w:spacing w:val="0"/>
          <w:sz w:val="22"/>
          <w:szCs w:val="22"/>
        </w:rPr>
        <w:t xml:space="preserve">Eight months after the initial outbreak, puzzles remain about the human immune response to the SARS-CoV-2 virus. </w:t>
      </w:r>
      <w:r>
        <w:rPr>
          <w:rFonts w:eastAsia="Lohit Hindi" w:cs="Lohit Hindi"/>
          <w:b w:val="false"/>
          <w:bCs/>
          <w:i w:val="false"/>
          <w:caps w:val="false"/>
          <w:smallCaps w:val="false"/>
          <w:color w:val="000000"/>
          <w:spacing w:val="0"/>
          <w:sz w:val="22"/>
          <w:szCs w:val="22"/>
          <w:lang w:val="en-GB" w:eastAsia="zh-CN" w:bidi="hi-IN"/>
        </w:rPr>
        <w:t>By now a significant propotion in some large cities, such as New York, will have been exposed.</w:t>
      </w:r>
      <w:r>
        <w:rPr>
          <w:b w:val="false"/>
          <w:bCs/>
          <w:i w:val="false"/>
          <w:caps w:val="false"/>
          <w:smallCaps w:val="false"/>
          <w:color w:val="000000"/>
          <w:spacing w:val="0"/>
          <w:sz w:val="22"/>
          <w:szCs w:val="22"/>
        </w:rPr>
        <w:t xml:space="preserve"> However antibody tests have often revealed lower than expected rates of seropositivity in populations where the virus has spread </w:t>
      </w:r>
      <w:r>
        <w:rPr>
          <w:b w:val="false"/>
          <w:bCs/>
          <w:i w:val="false"/>
          <w:caps w:val="false"/>
          <w:smallCaps w:val="false"/>
          <w:color w:val="000000"/>
          <w:spacing w:val="0"/>
          <w:position w:val="0"/>
          <w:sz w:val="22"/>
          <w:sz w:val="22"/>
          <w:szCs w:val="22"/>
          <w:vertAlign w:val="baseline"/>
        </w:rPr>
        <w:t>[26]</w:t>
      </w:r>
      <w:r>
        <w:rPr>
          <w:b w:val="false"/>
          <w:bCs/>
          <w:i w:val="false"/>
          <w:caps w:val="false"/>
          <w:smallCaps w:val="false"/>
          <w:color w:val="000000"/>
          <w:spacing w:val="0"/>
          <w:sz w:val="22"/>
          <w:szCs w:val="22"/>
        </w:rPr>
        <w:t xml:space="preserve">⁠. It is almost certain that other components of the immune system are important in protecting individuals </w:t>
      </w:r>
      <w:r>
        <w:rPr>
          <w:rFonts w:eastAsia="Lohit Hindi" w:cs="Lohit Hindi"/>
          <w:b w:val="false"/>
          <w:bCs/>
          <w:i w:val="false"/>
          <w:caps w:val="false"/>
          <w:smallCaps w:val="false"/>
          <w:color w:val="000000"/>
          <w:spacing w:val="0"/>
          <w:sz w:val="22"/>
          <w:szCs w:val="22"/>
          <w:lang w:val="en-GB" w:eastAsia="zh-CN" w:bidi="hi-IN"/>
        </w:rPr>
        <w:t>just as in other infectious diseases.</w:t>
      </w:r>
      <w:r>
        <w:rPr>
          <w:b w:val="false"/>
          <w:bCs/>
          <w:i w:val="false"/>
          <w:caps w:val="false"/>
          <w:smallCaps w:val="false"/>
          <w:color w:val="000000"/>
          <w:spacing w:val="0"/>
          <w:sz w:val="22"/>
          <w:szCs w:val="22"/>
          <w:u w:val="none"/>
        </w:rPr>
        <w:t xml:space="preserve"> Robust innate immune responses are one candidate. Another possibility is T cells. SARS-CoV-2 reactive CD4+ T cells have been reported in unexposed individuals, suggesting pre-exist</w:t>
      </w:r>
      <w:r>
        <w:rPr>
          <w:b w:val="false"/>
          <w:bCs/>
          <w:i w:val="false"/>
          <w:caps w:val="false"/>
          <w:smallCaps w:val="false"/>
          <w:color w:val="000000"/>
          <w:spacing w:val="0"/>
          <w:sz w:val="22"/>
          <w:szCs w:val="22"/>
        </w:rPr>
        <w:t>ing cross-reactive T cell memory in 20-50% of people [27]</w:t>
      </w:r>
      <w:r>
        <w:rPr>
          <w:b w:val="false"/>
          <w:bCs/>
          <w:i w:val="false"/>
          <w:caps w:val="false"/>
          <w:smallCaps w:val="false"/>
          <w:color w:val="000000"/>
          <w:spacing w:val="0"/>
          <w:position w:val="0"/>
          <w:sz w:val="22"/>
          <w:sz w:val="22"/>
          <w:szCs w:val="22"/>
          <w:vertAlign w:val="baseline"/>
        </w:rPr>
        <w:t>⁠.</w:t>
      </w:r>
      <w:r>
        <w:rPr>
          <w:b w:val="false"/>
          <w:bCs/>
          <w:i w:val="false"/>
          <w:caps w:val="false"/>
          <w:smallCaps w:val="false"/>
          <w:color w:val="000000"/>
          <w:spacing w:val="0"/>
          <w:sz w:val="22"/>
          <w:szCs w:val="22"/>
        </w:rPr>
        <w:t xml:space="preserve"> It is possible these are memory T cells generated from previous exposures to the human common cold coronaviruses (HCoVs) which circulate widely.</w:t>
      </w:r>
    </w:p>
    <w:p>
      <w:pPr>
        <w:pStyle w:val="Normal"/>
        <w:spacing w:lineRule="auto" w:line="360"/>
        <w:jc w:val="both"/>
        <w:rPr>
          <w:rFonts w:ascii="Lato" w:hAnsi="Lato"/>
          <w:color w:val="000000"/>
          <w:sz w:val="22"/>
          <w:szCs w:val="22"/>
        </w:rPr>
      </w:pPr>
      <w:r>
        <w:rPr>
          <w:b w:val="false"/>
          <w:bCs/>
          <w:i w:val="false"/>
          <w:caps w:val="false"/>
          <w:smallCaps w:val="false"/>
          <w:color w:val="000000"/>
          <w:spacing w:val="0"/>
          <w:sz w:val="22"/>
          <w:szCs w:val="22"/>
          <w:u w:val="none"/>
        </w:rPr>
        <w:t xml:space="preserve">Mateus et al. </w:t>
      </w:r>
      <w:r>
        <w:rPr>
          <w:b w:val="false"/>
          <w:bCs/>
          <w:i w:val="false"/>
          <w:caps w:val="false"/>
          <w:smallCaps w:val="false"/>
          <w:color w:val="000000"/>
          <w:spacing w:val="0"/>
          <w:position w:val="0"/>
          <w:sz w:val="22"/>
          <w:sz w:val="22"/>
          <w:szCs w:val="22"/>
          <w:u w:val="none"/>
          <w:vertAlign w:val="baseline"/>
        </w:rPr>
        <w:t>[28]</w:t>
      </w:r>
      <w:r>
        <w:rPr>
          <w:b w:val="false"/>
          <w:bCs/>
          <w:i w:val="false"/>
          <w:caps w:val="false"/>
          <w:smallCaps w:val="false"/>
          <w:color w:val="000000"/>
          <w:spacing w:val="0"/>
          <w:sz w:val="22"/>
          <w:szCs w:val="22"/>
          <w:u w:val="none"/>
        </w:rPr>
        <w:t xml:space="preserve">⁠ </w:t>
      </w:r>
      <w:r>
        <w:rPr>
          <w:b w:val="false"/>
          <w:bCs/>
          <w:i w:val="false"/>
          <w:caps w:val="false"/>
          <w:smallCaps w:val="false"/>
          <w:color w:val="000000"/>
          <w:spacing w:val="0"/>
          <w:sz w:val="22"/>
          <w:szCs w:val="22"/>
        </w:rPr>
        <w:t>have identified such cross-reactive CD4+ epitopes by generating 42 short term T cell lines specific to previously identified epitopes in PBMCs from unexposed donors. Then homologs to these peptides in the HCoVs were tested against these cell lines for a response. These tests were done in both unexposed and convalescent COVID19 patients. Cross reactivity was found in 10/42 of the T cell lines. Responding cells in unexposed donors were predominantly found in the effector memory CD4+ T cell population, though the consequences of this for protective immunity are not yet known.</w:t>
      </w:r>
    </w:p>
    <w:p>
      <w:pPr>
        <w:pStyle w:val="Normal"/>
        <w:spacing w:lineRule="auto" w:line="360"/>
        <w:jc w:val="both"/>
        <w:rPr>
          <w:rFonts w:ascii="Lato" w:hAnsi="Lato"/>
        </w:rPr>
      </w:pPr>
      <w:r>
        <w:rPr>
          <w:rFonts w:eastAsia="Lohit Hindi" w:cs="Lohit Hindi"/>
          <w:b w:val="false"/>
          <w:i w:val="false"/>
          <w:caps w:val="false"/>
          <w:smallCaps w:val="false"/>
          <w:color w:val="000000"/>
          <w:spacing w:val="0"/>
          <w:sz w:val="22"/>
          <w:szCs w:val="22"/>
          <w:lang w:val="en-GB" w:eastAsia="zh-CN" w:bidi="hi-IN"/>
        </w:rPr>
        <w:t>Here we show how it’s</w:t>
      </w:r>
      <w:r>
        <w:rPr>
          <w:b w:val="false"/>
          <w:i w:val="false"/>
          <w:caps w:val="false"/>
          <w:smallCaps w:val="false"/>
          <w:color w:val="000000"/>
          <w:spacing w:val="0"/>
          <w:sz w:val="22"/>
          <w:szCs w:val="22"/>
        </w:rPr>
        <w:t xml:space="preserve"> possible to predict such potential cross-reactive CD4+ eptiopes just using the sequences. </w:t>
      </w:r>
    </w:p>
    <w:p>
      <w:pPr>
        <w:pStyle w:val="TextBody"/>
        <w:spacing w:lineRule="auto" w:line="360"/>
        <w:jc w:val="both"/>
        <w:rPr>
          <w:rFonts w:ascii="Lato" w:hAnsi="Lato"/>
          <w:b w:val="false"/>
          <w:b w:val="false"/>
          <w:i w:val="false"/>
          <w:i w:val="false"/>
          <w:caps w:val="false"/>
          <w:smallCaps w:val="false"/>
          <w:color w:val="000000"/>
          <w:spacing w:val="0"/>
          <w:sz w:val="22"/>
          <w:szCs w:val="22"/>
        </w:rPr>
      </w:pPr>
      <w:r>
        <w:rPr>
          <w:b w:val="false"/>
          <w:i w:val="false"/>
          <w:caps w:val="false"/>
          <w:smallCaps w:val="false"/>
          <w:color w:val="000000"/>
          <w:spacing w:val="0"/>
          <w:sz w:val="22"/>
          <w:szCs w:val="22"/>
        </w:rPr>
        <w:t>The method used is as follows:</w:t>
      </w:r>
    </w:p>
    <w:p>
      <w:pPr>
        <w:pStyle w:val="TextBody"/>
        <w:widowControl/>
        <w:numPr>
          <w:ilvl w:val="0"/>
          <w:numId w:val="4"/>
        </w:numPr>
        <w:tabs>
          <w:tab w:val="left" w:pos="0" w:leader="none"/>
        </w:tabs>
        <w:spacing w:lineRule="auto" w:line="360" w:before="0" w:after="0"/>
        <w:ind w:left="148" w:right="0" w:hanging="0"/>
        <w:rPr>
          <w:rFonts w:ascii="Lato" w:hAnsi="Lato"/>
          <w:color w:val="000000"/>
          <w:sz w:val="22"/>
          <w:szCs w:val="22"/>
        </w:rPr>
      </w:pPr>
      <w:r>
        <w:rPr>
          <w:b w:val="false"/>
          <w:i w:val="false"/>
          <w:caps w:val="false"/>
          <w:smallCaps w:val="false"/>
          <w:color w:val="000000"/>
          <w:spacing w:val="0"/>
          <w:sz w:val="22"/>
          <w:szCs w:val="22"/>
        </w:rPr>
        <w:t>Predict MHC-binders in each SCoV2 protein sequence and selected the top scoring candidates. Here we use</w:t>
      </w:r>
      <w:r>
        <w:rPr>
          <w:b w:val="false"/>
          <w:i w:val="false"/>
          <w:caps w:val="false"/>
          <w:smallCaps w:val="false"/>
          <w:color w:val="000000"/>
          <w:spacing w:val="0"/>
          <w:sz w:val="22"/>
          <w:szCs w:val="22"/>
          <w:u w:val="none"/>
        </w:rPr>
        <w:t xml:space="preserve"> epitopepredict </w:t>
      </w:r>
      <w:r>
        <w:rPr>
          <w:b w:val="false"/>
          <w:i w:val="false"/>
          <w:caps w:val="false"/>
          <w:smallCaps w:val="false"/>
          <w:color w:val="000000"/>
          <w:spacing w:val="0"/>
          <w:sz w:val="22"/>
          <w:szCs w:val="22"/>
        </w:rPr>
        <w:t xml:space="preserve">to predict the most promiscuous binders across the 8 most representative human MHC-II alleles. Each protein sequence is split into 15-mer peptides and scored. </w:t>
      </w:r>
    </w:p>
    <w:p>
      <w:pPr>
        <w:pStyle w:val="TextBody"/>
        <w:widowControl/>
        <w:numPr>
          <w:ilvl w:val="0"/>
          <w:numId w:val="4"/>
        </w:numPr>
        <w:tabs>
          <w:tab w:val="left" w:pos="0" w:leader="none"/>
        </w:tabs>
        <w:spacing w:lineRule="auto" w:line="360" w:before="0" w:after="0"/>
        <w:ind w:left="148" w:hanging="0"/>
        <w:rPr>
          <w:rFonts w:ascii="Lato" w:hAnsi="Lato"/>
        </w:rPr>
      </w:pPr>
      <w:r>
        <w:rPr>
          <w:b w:val="false"/>
          <w:i w:val="false"/>
          <w:caps w:val="false"/>
          <w:smallCaps w:val="false"/>
          <w:color w:val="000000"/>
          <w:spacing w:val="0"/>
          <w:sz w:val="22"/>
          <w:szCs w:val="22"/>
        </w:rPr>
        <w:t xml:space="preserve">Select the top scoring peptides in each protein. In this case we select the peptides </w:t>
      </w:r>
      <w:r>
        <w:rPr>
          <w:rFonts w:eastAsia="DejaVu Sans" w:cs="Lohit Hindi"/>
          <w:b w:val="false"/>
          <w:i w:val="false"/>
          <w:caps w:val="false"/>
          <w:smallCaps w:val="false"/>
          <w:color w:val="000000"/>
          <w:spacing w:val="0"/>
          <w:sz w:val="22"/>
          <w:szCs w:val="22"/>
          <w:lang w:val="en-GB" w:eastAsia="zh-CN" w:bidi="hi-IN"/>
        </w:rPr>
        <w:t xml:space="preserve">using the global cutoff method in the top </w:t>
      </w:r>
      <w:r>
        <w:rPr>
          <w:b w:val="false"/>
          <w:i w:val="false"/>
          <w:caps w:val="false"/>
          <w:smallCaps w:val="false"/>
          <w:color w:val="000000"/>
          <w:spacing w:val="0"/>
          <w:sz w:val="22"/>
          <w:szCs w:val="22"/>
        </w:rPr>
        <w:t>5% percentile for each allele. We also limit the total for each protein to 70 to prevent a very long protein like ORF1ab from dominating the selection.</w:t>
      </w:r>
    </w:p>
    <w:p>
      <w:pPr>
        <w:pStyle w:val="TextBody"/>
        <w:widowControl/>
        <w:numPr>
          <w:ilvl w:val="0"/>
          <w:numId w:val="4"/>
        </w:numPr>
        <w:tabs>
          <w:tab w:val="left" w:pos="0" w:leader="none"/>
        </w:tabs>
        <w:spacing w:lineRule="auto" w:line="360" w:before="0" w:after="0"/>
        <w:ind w:left="148" w:hanging="0"/>
        <w:rPr>
          <w:rFonts w:ascii="Lato" w:hAnsi="Lato"/>
        </w:rPr>
      </w:pPr>
      <w:r>
        <w:rPr>
          <w:rFonts w:eastAsia="DejaVu Sans" w:cs="Lohit Hindi"/>
          <w:b w:val="false"/>
          <w:i w:val="false"/>
          <w:caps w:val="false"/>
          <w:smallCaps w:val="false"/>
          <w:color w:val="000000"/>
          <w:spacing w:val="0"/>
          <w:sz w:val="22"/>
          <w:szCs w:val="22"/>
          <w:lang w:val="en-GB" w:eastAsia="zh-CN" w:bidi="hi-IN"/>
        </w:rPr>
        <w:t xml:space="preserve">Calculate </w:t>
      </w:r>
      <w:r>
        <w:rPr>
          <w:b w:val="false"/>
          <w:i w:val="false"/>
          <w:caps w:val="false"/>
          <w:smallCaps w:val="false"/>
          <w:color w:val="000000"/>
          <w:spacing w:val="0"/>
          <w:sz w:val="22"/>
          <w:szCs w:val="22"/>
        </w:rPr>
        <w:t>conservation of each peptide with it’s closest homologous sequence in each of the other four HCoVs. Then rank them by percentage identity.</w:t>
      </w:r>
    </w:p>
    <w:p>
      <w:pPr>
        <w:pStyle w:val="TextBody"/>
        <w:widowControl/>
        <w:spacing w:lineRule="auto" w:line="360" w:before="0" w:after="120"/>
        <w:ind w:left="0" w:right="0" w:hanging="0"/>
        <w:rPr>
          <w:rFonts w:ascii="Lato" w:hAnsi="Lato"/>
          <w:b w:val="false"/>
          <w:b w:val="false"/>
          <w:i w:val="false"/>
          <w:i w:val="false"/>
          <w:caps w:val="false"/>
          <w:smallCaps w:val="false"/>
          <w:color w:val="000000"/>
          <w:spacing w:val="0"/>
          <w:sz w:val="22"/>
          <w:szCs w:val="22"/>
        </w:rPr>
      </w:pPr>
      <w:r>
        <w:rPr>
          <w:b w:val="false"/>
          <w:i w:val="false"/>
          <w:caps w:val="false"/>
          <w:smallCaps w:val="false"/>
          <w:color w:val="000000"/>
          <w:spacing w:val="0"/>
          <w:sz w:val="22"/>
          <w:szCs w:val="22"/>
        </w:rPr>
      </w:r>
    </w:p>
    <w:p>
      <w:pPr>
        <w:pStyle w:val="TextBody"/>
        <w:widowControl/>
        <w:spacing w:lineRule="auto" w:line="360" w:before="0" w:after="120"/>
        <w:ind w:left="0" w:right="0" w:hanging="0"/>
        <w:rPr/>
      </w:pPr>
      <w:r>
        <w:rPr>
          <w:b w:val="false"/>
          <w:i w:val="false"/>
          <w:caps w:val="false"/>
          <w:smallCaps w:val="false"/>
          <w:color w:val="000000"/>
          <w:spacing w:val="0"/>
          <w:sz w:val="22"/>
          <w:szCs w:val="22"/>
        </w:rPr>
        <w:t xml:space="preserve">Using a limit of 70 peptides per protein we found 282 predicted peptides. Out of these, 162 were conserved with &gt;67% identity in at least one HCoV (most commonly with Sars). Note that for a peptide to be cross-reactive it does not necessarily have to share all residues in common with it’s homolog. The 9-mer core binding sequence could be conserved with perhaps similar residues at ends. We finally checked our 162 peptides against the 10 epitopes identified by Mateus et al. We </w:t>
      </w:r>
      <w:r>
        <w:rPr>
          <w:rFonts w:eastAsia="DejaVu Sans" w:cs="Lohit Hindi"/>
          <w:b w:val="false"/>
          <w:i w:val="false"/>
          <w:caps w:val="false"/>
          <w:smallCaps w:val="false"/>
          <w:color w:val="000000"/>
          <w:spacing w:val="0"/>
          <w:sz w:val="22"/>
          <w:szCs w:val="22"/>
          <w:lang w:val="en-GB" w:eastAsia="zh-CN" w:bidi="hi-IN"/>
        </w:rPr>
        <w:t>found</w:t>
      </w:r>
      <w:r>
        <w:rPr>
          <w:b w:val="false"/>
          <w:i w:val="false"/>
          <w:caps w:val="false"/>
          <w:smallCaps w:val="false"/>
          <w:color w:val="000000"/>
          <w:spacing w:val="0"/>
          <w:sz w:val="22"/>
          <w:szCs w:val="22"/>
        </w:rPr>
        <w:t xml:space="preserve"> a hit in 6/10 cases, shown in Table 1. Some hits are two peptides in our set overlapping which probably indicates the same core epitope.</w:t>
      </w:r>
    </w:p>
    <w:p>
      <w:pPr>
        <w:pStyle w:val="Table"/>
        <w:rPr/>
      </w:pPr>
      <w:r>
        <w:rPr>
          <w:rFonts w:cs="Times New Roman"/>
          <w:b w:val="false"/>
          <w:bCs w:val="false"/>
          <w:caps w:val="false"/>
          <w:smallCaps w:val="false"/>
          <w:color w:val="000000"/>
          <w:spacing w:val="0"/>
          <w:sz w:val="22"/>
          <w:szCs w:val="22"/>
        </w:rPr>
        <w:t xml:space="preserve">Table </w:t>
      </w:r>
      <w:r>
        <w:rPr>
          <w:rFonts w:cs="Times New Roman"/>
          <w:b w:val="false"/>
          <w:bCs w:val="false"/>
          <w:caps w:val="false"/>
          <w:smallCaps w:val="false"/>
          <w:color w:val="000000"/>
          <w:spacing w:val="0"/>
          <w:sz w:val="22"/>
          <w:szCs w:val="22"/>
        </w:rPr>
        <w:fldChar w:fldCharType="begin"/>
      </w:r>
      <w:r>
        <w:instrText> SEQ Table \* ARABIC </w:instrText>
      </w:r>
      <w:r>
        <w:fldChar w:fldCharType="separate"/>
      </w:r>
      <w:r>
        <w:t>1</w:t>
      </w:r>
      <w:r>
        <w:fldChar w:fldCharType="end"/>
      </w:r>
      <w:r>
        <w:rPr>
          <w:rFonts w:cs="Times New Roman"/>
          <w:b w:val="false"/>
          <w:bCs w:val="false"/>
          <w:caps w:val="false"/>
          <w:smallCaps w:val="false"/>
          <w:color w:val="000000"/>
          <w:spacing w:val="0"/>
          <w:sz w:val="22"/>
          <w:szCs w:val="22"/>
        </w:rPr>
        <w:t xml:space="preserve">: </w:t>
      </w:r>
      <w:r>
        <w:rPr>
          <w:rFonts w:eastAsia="DejaVu Sans" w:cs="Times New Roman"/>
          <w:b w:val="false"/>
          <w:bCs w:val="false"/>
          <w:caps w:val="false"/>
          <w:smallCaps w:val="false"/>
          <w:color w:val="000000"/>
          <w:spacing w:val="0"/>
          <w:sz w:val="22"/>
          <w:szCs w:val="22"/>
          <w:lang w:val="en-GB" w:eastAsia="zh-CN" w:bidi="hi-IN"/>
        </w:rPr>
        <w:t>Matches</w:t>
      </w:r>
      <w:r>
        <w:rPr>
          <w:rFonts w:cs="Times New Roman"/>
          <w:b w:val="false"/>
          <w:bCs w:val="false"/>
          <w:caps w:val="false"/>
          <w:smallCaps w:val="false"/>
          <w:color w:val="000000"/>
          <w:spacing w:val="0"/>
          <w:sz w:val="22"/>
          <w:szCs w:val="22"/>
        </w:rPr>
        <w:t xml:space="preserve"> to the 10 cross reactive peptides found by Mateus et al. from our predicted binders shows hits in 6/10 cases.</w:t>
      </w:r>
    </w:p>
    <w:tbl>
      <w:tblPr>
        <w:tblW w:w="8391" w:type="dxa"/>
        <w:jc w:val="left"/>
        <w:tblInd w:w="529" w:type="dxa"/>
        <w:tblBorders>
          <w:top w:val="single" w:sz="2" w:space="0" w:color="000001"/>
          <w:left w:val="single" w:sz="2" w:space="0" w:color="000001"/>
          <w:bottom w:val="single" w:sz="2" w:space="0" w:color="000001"/>
          <w:right w:val="single" w:sz="2" w:space="0" w:color="000001"/>
          <w:insideH w:val="single" w:sz="2" w:space="0" w:color="000001"/>
          <w:insideV w:val="single" w:sz="2" w:space="0" w:color="000001"/>
        </w:tblBorders>
        <w:tblCellMar>
          <w:top w:w="59" w:type="dxa"/>
          <w:left w:w="49" w:type="dxa"/>
          <w:bottom w:w="59" w:type="dxa"/>
          <w:right w:w="59" w:type="dxa"/>
        </w:tblCellMar>
      </w:tblPr>
      <w:tblGrid>
        <w:gridCol w:w="1976"/>
        <w:gridCol w:w="782"/>
        <w:gridCol w:w="902"/>
        <w:gridCol w:w="4730"/>
      </w:tblGrid>
      <w:tr>
        <w:trPr>
          <w:tblHeader w:val="true"/>
        </w:trPr>
        <w:tc>
          <w:tcPr>
            <w:tcW w:w="1976"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fill="FFFFFF" w:val="clear"/>
            <w:tcMar>
              <w:left w:w="49" w:type="dxa"/>
            </w:tcMar>
            <w:vAlign w:val="center"/>
          </w:tcPr>
          <w:p>
            <w:pPr>
              <w:pStyle w:val="TableHeading"/>
              <w:jc w:val="left"/>
              <w:rPr>
                <w:rFonts w:ascii="Lato" w:hAnsi="Lato"/>
                <w:b/>
                <w:b/>
                <w:bCs/>
                <w:color w:val="000000"/>
                <w:sz w:val="18"/>
                <w:szCs w:val="18"/>
              </w:rPr>
            </w:pPr>
            <w:r>
              <w:rPr>
                <w:b/>
                <w:bCs/>
                <w:color w:val="000000"/>
                <w:sz w:val="18"/>
                <w:szCs w:val="18"/>
              </w:rPr>
              <w:t>Sequence</w:t>
            </w:r>
          </w:p>
        </w:tc>
        <w:tc>
          <w:tcPr>
            <w:tcW w:w="782"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fill="FFFFFF" w:val="clear"/>
            <w:tcMar>
              <w:left w:w="49" w:type="dxa"/>
            </w:tcMar>
            <w:vAlign w:val="center"/>
          </w:tcPr>
          <w:p>
            <w:pPr>
              <w:pStyle w:val="TableHeading"/>
              <w:jc w:val="left"/>
              <w:rPr>
                <w:rFonts w:ascii="Lato" w:hAnsi="Lato"/>
                <w:b/>
                <w:b/>
                <w:bCs/>
                <w:color w:val="000000"/>
                <w:sz w:val="18"/>
                <w:szCs w:val="18"/>
              </w:rPr>
            </w:pPr>
            <w:r>
              <w:rPr>
                <w:b/>
                <w:bCs/>
                <w:color w:val="000000"/>
                <w:sz w:val="18"/>
                <w:szCs w:val="18"/>
              </w:rPr>
              <w:t>Protein</w:t>
            </w:r>
          </w:p>
        </w:tc>
        <w:tc>
          <w:tcPr>
            <w:tcW w:w="902"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fill="FFFFFF" w:val="clear"/>
            <w:tcMar>
              <w:left w:w="49" w:type="dxa"/>
            </w:tcMar>
            <w:vAlign w:val="center"/>
          </w:tcPr>
          <w:p>
            <w:pPr>
              <w:pStyle w:val="TableHeading"/>
              <w:jc w:val="left"/>
              <w:rPr>
                <w:rFonts w:ascii="Lato" w:hAnsi="Lato"/>
                <w:b/>
                <w:b/>
                <w:bCs/>
                <w:color w:val="000000"/>
                <w:sz w:val="18"/>
                <w:szCs w:val="18"/>
              </w:rPr>
            </w:pPr>
            <w:r>
              <w:rPr>
                <w:b/>
                <w:bCs/>
                <w:color w:val="000000"/>
                <w:sz w:val="18"/>
                <w:szCs w:val="18"/>
              </w:rPr>
              <w:t>Start</w:t>
            </w:r>
          </w:p>
        </w:tc>
        <w:tc>
          <w:tcPr>
            <w:tcW w:w="4730"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fill="FFFFFF" w:val="clear"/>
            <w:tcMar>
              <w:left w:w="49" w:type="dxa"/>
            </w:tcMar>
            <w:vAlign w:val="center"/>
          </w:tcPr>
          <w:p>
            <w:pPr>
              <w:pStyle w:val="TableHeading"/>
              <w:jc w:val="left"/>
              <w:rPr>
                <w:rFonts w:ascii="Lato" w:hAnsi="Lato"/>
                <w:b/>
                <w:b/>
                <w:bCs/>
                <w:color w:val="000000"/>
                <w:sz w:val="18"/>
                <w:szCs w:val="18"/>
              </w:rPr>
            </w:pPr>
            <w:r>
              <w:rPr>
                <w:b/>
                <w:bCs/>
                <w:color w:val="000000"/>
                <w:sz w:val="18"/>
                <w:szCs w:val="18"/>
              </w:rPr>
              <w:t>Hit from Predicted Set</w:t>
            </w:r>
          </w:p>
        </w:tc>
      </w:tr>
      <w:tr>
        <w:trPr/>
        <w:tc>
          <w:tcPr>
            <w:tcW w:w="1976"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fill="FFFFFF" w:val="clear"/>
            <w:tcMar>
              <w:left w:w="49" w:type="dxa"/>
            </w:tcMar>
            <w:vAlign w:val="center"/>
          </w:tcPr>
          <w:p>
            <w:pPr>
              <w:pStyle w:val="TableContents"/>
              <w:jc w:val="left"/>
              <w:rPr>
                <w:rFonts w:ascii="Lato" w:hAnsi="Lato"/>
                <w:b w:val="false"/>
                <w:b w:val="false"/>
                <w:bCs w:val="false"/>
                <w:color w:val="000000"/>
                <w:sz w:val="18"/>
                <w:szCs w:val="18"/>
              </w:rPr>
            </w:pPr>
            <w:r>
              <w:rPr>
                <w:b w:val="false"/>
                <w:bCs w:val="false"/>
                <w:color w:val="000000"/>
                <w:sz w:val="18"/>
                <w:szCs w:val="18"/>
              </w:rPr>
              <w:t>PSGTWLTYTGAIKLD</w:t>
            </w:r>
          </w:p>
        </w:tc>
        <w:tc>
          <w:tcPr>
            <w:tcW w:w="782"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fill="FFFFFF" w:val="clear"/>
            <w:tcMar>
              <w:left w:w="49" w:type="dxa"/>
            </w:tcMar>
            <w:vAlign w:val="center"/>
          </w:tcPr>
          <w:p>
            <w:pPr>
              <w:pStyle w:val="TableContents"/>
              <w:jc w:val="left"/>
              <w:rPr>
                <w:rFonts w:ascii="Lato" w:hAnsi="Lato"/>
                <w:b w:val="false"/>
                <w:b w:val="false"/>
                <w:bCs w:val="false"/>
                <w:color w:val="000000"/>
                <w:sz w:val="18"/>
                <w:szCs w:val="18"/>
              </w:rPr>
            </w:pPr>
            <w:r>
              <w:rPr>
                <w:b w:val="false"/>
                <w:bCs w:val="false"/>
                <w:color w:val="000000"/>
                <w:sz w:val="18"/>
                <w:szCs w:val="18"/>
              </w:rPr>
              <w:t>N</w:t>
            </w:r>
          </w:p>
        </w:tc>
        <w:tc>
          <w:tcPr>
            <w:tcW w:w="902"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fill="FFFFFF" w:val="clear"/>
            <w:tcMar>
              <w:left w:w="49" w:type="dxa"/>
            </w:tcMar>
            <w:vAlign w:val="center"/>
          </w:tcPr>
          <w:p>
            <w:pPr>
              <w:pStyle w:val="TableContents"/>
              <w:jc w:val="left"/>
              <w:rPr>
                <w:rFonts w:ascii="Lato" w:hAnsi="Lato"/>
                <w:b w:val="false"/>
                <w:b w:val="false"/>
                <w:bCs w:val="false"/>
                <w:color w:val="000000"/>
                <w:sz w:val="18"/>
                <w:szCs w:val="18"/>
              </w:rPr>
            </w:pPr>
            <w:r>
              <w:rPr>
                <w:b w:val="false"/>
                <w:bCs w:val="false"/>
                <w:color w:val="000000"/>
                <w:sz w:val="18"/>
                <w:szCs w:val="18"/>
              </w:rPr>
              <w:t>326</w:t>
            </w:r>
          </w:p>
        </w:tc>
        <w:tc>
          <w:tcPr>
            <w:tcW w:w="4730"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fill="FFFFFF" w:val="clear"/>
            <w:tcMar>
              <w:left w:w="49" w:type="dxa"/>
            </w:tcMar>
            <w:vAlign w:val="center"/>
          </w:tcPr>
          <w:p>
            <w:pPr>
              <w:pStyle w:val="TableContents"/>
              <w:jc w:val="left"/>
              <w:rPr>
                <w:rFonts w:ascii="Lato" w:hAnsi="Lato"/>
                <w:b w:val="false"/>
                <w:b w:val="false"/>
                <w:bCs w:val="false"/>
                <w:color w:val="000000"/>
                <w:sz w:val="18"/>
                <w:szCs w:val="18"/>
              </w:rPr>
            </w:pPr>
            <w:r>
              <w:rPr>
                <w:b w:val="false"/>
                <w:bCs w:val="false"/>
                <w:color w:val="000000"/>
                <w:sz w:val="18"/>
                <w:szCs w:val="18"/>
              </w:rPr>
              <w:t>GTWLTYTGAIKLDDK</w:t>
            </w:r>
          </w:p>
        </w:tc>
      </w:tr>
      <w:tr>
        <w:trPr/>
        <w:tc>
          <w:tcPr>
            <w:tcW w:w="1976"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fill="FFFFFF" w:val="clear"/>
            <w:tcMar>
              <w:left w:w="49" w:type="dxa"/>
            </w:tcMar>
            <w:vAlign w:val="center"/>
          </w:tcPr>
          <w:p>
            <w:pPr>
              <w:pStyle w:val="TableContents"/>
              <w:jc w:val="left"/>
              <w:rPr>
                <w:rFonts w:ascii="Lato" w:hAnsi="Lato"/>
                <w:b w:val="false"/>
                <w:b w:val="false"/>
                <w:bCs w:val="false"/>
                <w:color w:val="000000"/>
                <w:sz w:val="18"/>
                <w:szCs w:val="18"/>
              </w:rPr>
            </w:pPr>
            <w:r>
              <w:rPr>
                <w:b w:val="false"/>
                <w:bCs w:val="false"/>
                <w:color w:val="000000"/>
                <w:sz w:val="18"/>
                <w:szCs w:val="18"/>
              </w:rPr>
              <w:t>SFIEDLLFNKVTLAD</w:t>
            </w:r>
          </w:p>
        </w:tc>
        <w:tc>
          <w:tcPr>
            <w:tcW w:w="782"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fill="FFFFFF" w:val="clear"/>
            <w:tcMar>
              <w:left w:w="49" w:type="dxa"/>
            </w:tcMar>
            <w:vAlign w:val="center"/>
          </w:tcPr>
          <w:p>
            <w:pPr>
              <w:pStyle w:val="TableContents"/>
              <w:jc w:val="left"/>
              <w:rPr>
                <w:rFonts w:ascii="Lato" w:hAnsi="Lato"/>
                <w:b w:val="false"/>
                <w:b w:val="false"/>
                <w:bCs w:val="false"/>
                <w:color w:val="000000"/>
                <w:sz w:val="18"/>
                <w:szCs w:val="18"/>
              </w:rPr>
            </w:pPr>
            <w:r>
              <w:rPr>
                <w:b w:val="false"/>
                <w:bCs w:val="false"/>
                <w:color w:val="000000"/>
                <w:sz w:val="18"/>
                <w:szCs w:val="18"/>
              </w:rPr>
              <w:t>S</w:t>
            </w:r>
          </w:p>
        </w:tc>
        <w:tc>
          <w:tcPr>
            <w:tcW w:w="902"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fill="FFFFFF" w:val="clear"/>
            <w:tcMar>
              <w:left w:w="49" w:type="dxa"/>
            </w:tcMar>
            <w:vAlign w:val="center"/>
          </w:tcPr>
          <w:p>
            <w:pPr>
              <w:pStyle w:val="TableContents"/>
              <w:jc w:val="left"/>
              <w:rPr>
                <w:rFonts w:ascii="Lato" w:hAnsi="Lato"/>
                <w:b w:val="false"/>
                <w:b w:val="false"/>
                <w:bCs w:val="false"/>
                <w:color w:val="000000"/>
                <w:sz w:val="18"/>
                <w:szCs w:val="18"/>
              </w:rPr>
            </w:pPr>
            <w:r>
              <w:rPr>
                <w:b w:val="false"/>
                <w:bCs w:val="false"/>
                <w:color w:val="000000"/>
                <w:sz w:val="18"/>
                <w:szCs w:val="18"/>
              </w:rPr>
              <w:t>816</w:t>
            </w:r>
          </w:p>
        </w:tc>
        <w:tc>
          <w:tcPr>
            <w:tcW w:w="4730"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fill="FFFFFF" w:val="clear"/>
            <w:tcMar>
              <w:left w:w="49" w:type="dxa"/>
            </w:tcMar>
            <w:vAlign w:val="center"/>
          </w:tcPr>
          <w:p>
            <w:pPr>
              <w:pStyle w:val="TableContents"/>
              <w:jc w:val="left"/>
              <w:rPr>
                <w:rFonts w:ascii="Lato" w:hAnsi="Lato"/>
                <w:b w:val="false"/>
                <w:b w:val="false"/>
                <w:bCs w:val="false"/>
                <w:color w:val="000000"/>
                <w:sz w:val="18"/>
                <w:szCs w:val="18"/>
              </w:rPr>
            </w:pPr>
            <w:r>
              <w:rPr>
                <w:b w:val="false"/>
                <w:bCs w:val="false"/>
                <w:color w:val="000000"/>
                <w:sz w:val="18"/>
                <w:szCs w:val="18"/>
              </w:rPr>
              <w:t>FIEDLLFNKVTLADA, DLLFNKVTLADAGFI</w:t>
            </w:r>
          </w:p>
        </w:tc>
      </w:tr>
      <w:tr>
        <w:trPr/>
        <w:tc>
          <w:tcPr>
            <w:tcW w:w="1976"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fill="FFFFFF" w:val="clear"/>
            <w:tcMar>
              <w:left w:w="49" w:type="dxa"/>
            </w:tcMar>
            <w:vAlign w:val="center"/>
          </w:tcPr>
          <w:p>
            <w:pPr>
              <w:pStyle w:val="TableContents"/>
              <w:jc w:val="left"/>
              <w:rPr>
                <w:rFonts w:ascii="Lato" w:hAnsi="Lato"/>
                <w:b w:val="false"/>
                <w:b w:val="false"/>
                <w:bCs w:val="false"/>
                <w:color w:val="000000"/>
                <w:sz w:val="18"/>
                <w:szCs w:val="18"/>
              </w:rPr>
            </w:pPr>
            <w:r>
              <w:rPr>
                <w:b w:val="false"/>
                <w:bCs w:val="false"/>
                <w:color w:val="000000"/>
                <w:sz w:val="18"/>
                <w:szCs w:val="18"/>
              </w:rPr>
              <w:t>YEQYIKWPWYIWLGF</w:t>
            </w:r>
          </w:p>
        </w:tc>
        <w:tc>
          <w:tcPr>
            <w:tcW w:w="782"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fill="FFFFFF" w:val="clear"/>
            <w:tcMar>
              <w:left w:w="49" w:type="dxa"/>
            </w:tcMar>
            <w:vAlign w:val="center"/>
          </w:tcPr>
          <w:p>
            <w:pPr>
              <w:pStyle w:val="TableContents"/>
              <w:jc w:val="left"/>
              <w:rPr>
                <w:rFonts w:ascii="Lato" w:hAnsi="Lato"/>
                <w:b w:val="false"/>
                <w:b w:val="false"/>
                <w:bCs w:val="false"/>
                <w:color w:val="000000"/>
                <w:sz w:val="18"/>
                <w:szCs w:val="18"/>
              </w:rPr>
            </w:pPr>
            <w:r>
              <w:rPr>
                <w:b w:val="false"/>
                <w:bCs w:val="false"/>
                <w:color w:val="000000"/>
                <w:sz w:val="18"/>
                <w:szCs w:val="18"/>
              </w:rPr>
              <w:t>S</w:t>
            </w:r>
          </w:p>
        </w:tc>
        <w:tc>
          <w:tcPr>
            <w:tcW w:w="902"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fill="FFFFFF" w:val="clear"/>
            <w:tcMar>
              <w:left w:w="49" w:type="dxa"/>
            </w:tcMar>
            <w:vAlign w:val="center"/>
          </w:tcPr>
          <w:p>
            <w:pPr>
              <w:pStyle w:val="TableContents"/>
              <w:jc w:val="left"/>
              <w:rPr>
                <w:rFonts w:ascii="Lato" w:hAnsi="Lato"/>
                <w:b w:val="false"/>
                <w:b w:val="false"/>
                <w:bCs w:val="false"/>
                <w:color w:val="000000"/>
                <w:sz w:val="18"/>
                <w:szCs w:val="18"/>
              </w:rPr>
            </w:pPr>
            <w:r>
              <w:rPr>
                <w:b w:val="false"/>
                <w:bCs w:val="false"/>
                <w:color w:val="000000"/>
                <w:sz w:val="18"/>
                <w:szCs w:val="18"/>
              </w:rPr>
              <w:t>1206</w:t>
            </w:r>
          </w:p>
        </w:tc>
        <w:tc>
          <w:tcPr>
            <w:tcW w:w="4730"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fill="FFFFFF" w:val="clear"/>
            <w:tcMar>
              <w:left w:w="49" w:type="dxa"/>
            </w:tcMar>
            <w:vAlign w:val="center"/>
          </w:tcPr>
          <w:p>
            <w:pPr>
              <w:pStyle w:val="TableContents"/>
              <w:jc w:val="left"/>
              <w:rPr>
                <w:rFonts w:ascii="Lato" w:hAnsi="Lato"/>
                <w:b w:val="false"/>
                <w:b w:val="false"/>
                <w:bCs w:val="false"/>
                <w:color w:val="000000"/>
                <w:sz w:val="18"/>
                <w:szCs w:val="18"/>
              </w:rPr>
            </w:pPr>
            <w:r>
              <w:rPr>
                <w:b w:val="false"/>
                <w:bCs w:val="false"/>
                <w:color w:val="000000"/>
                <w:sz w:val="18"/>
                <w:szCs w:val="18"/>
              </w:rPr>
              <w:t>None</w:t>
            </w:r>
          </w:p>
        </w:tc>
      </w:tr>
      <w:tr>
        <w:trPr/>
        <w:tc>
          <w:tcPr>
            <w:tcW w:w="1976"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fill="FFFFFF" w:val="clear"/>
            <w:tcMar>
              <w:left w:w="49" w:type="dxa"/>
            </w:tcMar>
            <w:vAlign w:val="center"/>
          </w:tcPr>
          <w:p>
            <w:pPr>
              <w:pStyle w:val="TableContents"/>
              <w:jc w:val="left"/>
              <w:rPr>
                <w:rFonts w:ascii="Lato" w:hAnsi="Lato"/>
                <w:b w:val="false"/>
                <w:b w:val="false"/>
                <w:bCs w:val="false"/>
                <w:color w:val="000000"/>
                <w:sz w:val="18"/>
                <w:szCs w:val="18"/>
              </w:rPr>
            </w:pPr>
            <w:r>
              <w:rPr>
                <w:b w:val="false"/>
                <w:bCs w:val="false"/>
                <w:color w:val="000000"/>
                <w:sz w:val="18"/>
                <w:szCs w:val="18"/>
              </w:rPr>
              <w:t>VLKKLKKSLNVAKSE</w:t>
            </w:r>
          </w:p>
        </w:tc>
        <w:tc>
          <w:tcPr>
            <w:tcW w:w="782"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fill="FFFFFF" w:val="clear"/>
            <w:tcMar>
              <w:left w:w="49" w:type="dxa"/>
            </w:tcMar>
            <w:vAlign w:val="center"/>
          </w:tcPr>
          <w:p>
            <w:pPr>
              <w:pStyle w:val="TableContents"/>
              <w:jc w:val="left"/>
              <w:rPr>
                <w:rFonts w:ascii="Lato" w:hAnsi="Lato"/>
                <w:b w:val="false"/>
                <w:b w:val="false"/>
                <w:bCs w:val="false"/>
                <w:color w:val="000000"/>
                <w:sz w:val="18"/>
                <w:szCs w:val="18"/>
              </w:rPr>
            </w:pPr>
            <w:r>
              <w:rPr>
                <w:b w:val="false"/>
                <w:bCs w:val="false"/>
                <w:color w:val="000000"/>
                <w:sz w:val="18"/>
                <w:szCs w:val="18"/>
              </w:rPr>
              <w:t>nsp8</w:t>
            </w:r>
          </w:p>
        </w:tc>
        <w:tc>
          <w:tcPr>
            <w:tcW w:w="902"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fill="FFFFFF" w:val="clear"/>
            <w:tcMar>
              <w:left w:w="49" w:type="dxa"/>
            </w:tcMar>
            <w:vAlign w:val="center"/>
          </w:tcPr>
          <w:p>
            <w:pPr>
              <w:pStyle w:val="TableContents"/>
              <w:jc w:val="left"/>
              <w:rPr>
                <w:rFonts w:ascii="Lato" w:hAnsi="Lato"/>
                <w:b w:val="false"/>
                <w:b w:val="false"/>
                <w:bCs w:val="false"/>
                <w:color w:val="000000"/>
                <w:sz w:val="18"/>
                <w:szCs w:val="18"/>
              </w:rPr>
            </w:pPr>
            <w:r>
              <w:rPr>
                <w:b w:val="false"/>
                <w:bCs w:val="false"/>
                <w:color w:val="000000"/>
                <w:sz w:val="18"/>
                <w:szCs w:val="18"/>
              </w:rPr>
              <w:t>3976</w:t>
            </w:r>
          </w:p>
        </w:tc>
        <w:tc>
          <w:tcPr>
            <w:tcW w:w="4730"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fill="FFFFFF" w:val="clear"/>
            <w:tcMar>
              <w:left w:w="49" w:type="dxa"/>
            </w:tcMar>
            <w:vAlign w:val="center"/>
          </w:tcPr>
          <w:p>
            <w:pPr>
              <w:pStyle w:val="TableContents"/>
              <w:jc w:val="left"/>
              <w:rPr>
                <w:rFonts w:ascii="Lato" w:hAnsi="Lato"/>
                <w:b w:val="false"/>
                <w:b w:val="false"/>
                <w:bCs w:val="false"/>
                <w:color w:val="000000"/>
                <w:sz w:val="18"/>
                <w:szCs w:val="18"/>
              </w:rPr>
            </w:pPr>
            <w:r>
              <w:rPr>
                <w:b w:val="false"/>
                <w:bCs w:val="false"/>
                <w:color w:val="000000"/>
                <w:sz w:val="18"/>
                <w:szCs w:val="18"/>
              </w:rPr>
              <w:t>VVLKKLKKSLNVAKS, EVVLKKLKKSLNVAK</w:t>
            </w:r>
          </w:p>
        </w:tc>
      </w:tr>
      <w:tr>
        <w:trPr/>
        <w:tc>
          <w:tcPr>
            <w:tcW w:w="1976"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fill="FFFFFF" w:val="clear"/>
            <w:tcMar>
              <w:left w:w="49" w:type="dxa"/>
            </w:tcMar>
            <w:vAlign w:val="center"/>
          </w:tcPr>
          <w:p>
            <w:pPr>
              <w:pStyle w:val="TableContents"/>
              <w:jc w:val="left"/>
              <w:rPr>
                <w:rFonts w:ascii="Lato" w:hAnsi="Lato"/>
                <w:b w:val="false"/>
                <w:b w:val="false"/>
                <w:bCs w:val="false"/>
                <w:color w:val="000000"/>
                <w:sz w:val="18"/>
                <w:szCs w:val="18"/>
              </w:rPr>
            </w:pPr>
            <w:r>
              <w:rPr>
                <w:b w:val="false"/>
                <w:bCs w:val="false"/>
                <w:color w:val="000000"/>
                <w:sz w:val="18"/>
                <w:szCs w:val="18"/>
              </w:rPr>
              <w:t>KLLKSIAATRGATVV</w:t>
            </w:r>
          </w:p>
        </w:tc>
        <w:tc>
          <w:tcPr>
            <w:tcW w:w="782"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fill="FFFFFF" w:val="clear"/>
            <w:tcMar>
              <w:left w:w="49" w:type="dxa"/>
            </w:tcMar>
            <w:vAlign w:val="center"/>
          </w:tcPr>
          <w:p>
            <w:pPr>
              <w:pStyle w:val="TableContents"/>
              <w:jc w:val="left"/>
              <w:rPr>
                <w:rFonts w:ascii="Lato" w:hAnsi="Lato"/>
                <w:b w:val="false"/>
                <w:b w:val="false"/>
                <w:bCs w:val="false"/>
                <w:color w:val="000000"/>
                <w:sz w:val="18"/>
                <w:szCs w:val="18"/>
              </w:rPr>
            </w:pPr>
            <w:r>
              <w:rPr>
                <w:b w:val="false"/>
                <w:bCs w:val="false"/>
                <w:color w:val="000000"/>
                <w:sz w:val="18"/>
                <w:szCs w:val="18"/>
              </w:rPr>
              <w:t>nsp12</w:t>
            </w:r>
          </w:p>
        </w:tc>
        <w:tc>
          <w:tcPr>
            <w:tcW w:w="902"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fill="FFFFFF" w:val="clear"/>
            <w:tcMar>
              <w:left w:w="49" w:type="dxa"/>
            </w:tcMar>
            <w:vAlign w:val="center"/>
          </w:tcPr>
          <w:p>
            <w:pPr>
              <w:pStyle w:val="TableContents"/>
              <w:jc w:val="left"/>
              <w:rPr>
                <w:rFonts w:ascii="Lato" w:hAnsi="Lato"/>
                <w:b w:val="false"/>
                <w:b w:val="false"/>
                <w:bCs w:val="false"/>
                <w:color w:val="000000"/>
                <w:sz w:val="18"/>
                <w:szCs w:val="18"/>
              </w:rPr>
            </w:pPr>
            <w:r>
              <w:rPr>
                <w:b w:val="false"/>
                <w:bCs w:val="false"/>
                <w:color w:val="000000"/>
                <w:sz w:val="18"/>
                <w:szCs w:val="18"/>
              </w:rPr>
              <w:t>4966</w:t>
            </w:r>
          </w:p>
        </w:tc>
        <w:tc>
          <w:tcPr>
            <w:tcW w:w="4730"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fill="FFFFFF" w:val="clear"/>
            <w:tcMar>
              <w:left w:w="49" w:type="dxa"/>
            </w:tcMar>
            <w:vAlign w:val="center"/>
          </w:tcPr>
          <w:p>
            <w:pPr>
              <w:pStyle w:val="TableContents"/>
              <w:jc w:val="left"/>
              <w:rPr>
                <w:rFonts w:ascii="Lato" w:hAnsi="Lato"/>
                <w:b w:val="false"/>
                <w:b w:val="false"/>
                <w:bCs w:val="false"/>
                <w:color w:val="000000"/>
                <w:sz w:val="18"/>
                <w:szCs w:val="18"/>
              </w:rPr>
            </w:pPr>
            <w:r>
              <w:rPr>
                <w:b w:val="false"/>
                <w:bCs w:val="false"/>
                <w:color w:val="000000"/>
                <w:sz w:val="18"/>
                <w:szCs w:val="18"/>
              </w:rPr>
              <w:t>RQFHQKLLKSIAATR</w:t>
            </w:r>
          </w:p>
        </w:tc>
      </w:tr>
      <w:tr>
        <w:trPr/>
        <w:tc>
          <w:tcPr>
            <w:tcW w:w="1976"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fill="FFFFFF" w:val="clear"/>
            <w:tcMar>
              <w:left w:w="49" w:type="dxa"/>
            </w:tcMar>
            <w:vAlign w:val="center"/>
          </w:tcPr>
          <w:p>
            <w:pPr>
              <w:pStyle w:val="TableContents"/>
              <w:jc w:val="left"/>
              <w:rPr>
                <w:rFonts w:ascii="Lato" w:hAnsi="Lato"/>
                <w:b w:val="false"/>
                <w:b w:val="false"/>
                <w:bCs w:val="false"/>
                <w:color w:val="000000"/>
                <w:sz w:val="18"/>
                <w:szCs w:val="18"/>
              </w:rPr>
            </w:pPr>
            <w:r>
              <w:rPr>
                <w:b w:val="false"/>
                <w:bCs w:val="false"/>
                <w:color w:val="000000"/>
                <w:sz w:val="18"/>
                <w:szCs w:val="18"/>
              </w:rPr>
              <w:t>EFYAYLRKHFSMMIL</w:t>
            </w:r>
          </w:p>
        </w:tc>
        <w:tc>
          <w:tcPr>
            <w:tcW w:w="782"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fill="FFFFFF" w:val="clear"/>
            <w:tcMar>
              <w:left w:w="49" w:type="dxa"/>
            </w:tcMar>
            <w:vAlign w:val="center"/>
          </w:tcPr>
          <w:p>
            <w:pPr>
              <w:pStyle w:val="TableContents"/>
              <w:jc w:val="left"/>
              <w:rPr>
                <w:rFonts w:ascii="Lato" w:hAnsi="Lato"/>
                <w:b w:val="false"/>
                <w:b w:val="false"/>
                <w:bCs w:val="false"/>
                <w:color w:val="000000"/>
                <w:sz w:val="18"/>
                <w:szCs w:val="18"/>
              </w:rPr>
            </w:pPr>
            <w:r>
              <w:rPr>
                <w:b w:val="false"/>
                <w:bCs w:val="false"/>
                <w:color w:val="000000"/>
                <w:sz w:val="18"/>
                <w:szCs w:val="18"/>
              </w:rPr>
              <w:t>nsp12</w:t>
            </w:r>
          </w:p>
        </w:tc>
        <w:tc>
          <w:tcPr>
            <w:tcW w:w="902"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fill="FFFFFF" w:val="clear"/>
            <w:tcMar>
              <w:left w:w="49" w:type="dxa"/>
            </w:tcMar>
            <w:vAlign w:val="center"/>
          </w:tcPr>
          <w:p>
            <w:pPr>
              <w:pStyle w:val="TableContents"/>
              <w:jc w:val="left"/>
              <w:rPr>
                <w:rFonts w:ascii="Lato" w:hAnsi="Lato"/>
                <w:b w:val="false"/>
                <w:b w:val="false"/>
                <w:bCs w:val="false"/>
                <w:color w:val="000000"/>
                <w:sz w:val="18"/>
                <w:szCs w:val="18"/>
              </w:rPr>
            </w:pPr>
            <w:r>
              <w:rPr>
                <w:b w:val="false"/>
                <w:bCs w:val="false"/>
                <w:color w:val="000000"/>
                <w:sz w:val="18"/>
                <w:szCs w:val="18"/>
              </w:rPr>
              <w:t>5136</w:t>
            </w:r>
          </w:p>
        </w:tc>
        <w:tc>
          <w:tcPr>
            <w:tcW w:w="4730"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fill="FFFFFF" w:val="clear"/>
            <w:tcMar>
              <w:left w:w="49" w:type="dxa"/>
            </w:tcMar>
            <w:vAlign w:val="center"/>
          </w:tcPr>
          <w:p>
            <w:pPr>
              <w:pStyle w:val="TableContents"/>
              <w:jc w:val="left"/>
              <w:rPr>
                <w:rFonts w:ascii="Lato" w:hAnsi="Lato"/>
                <w:b w:val="false"/>
                <w:b w:val="false"/>
                <w:bCs w:val="false"/>
                <w:color w:val="000000"/>
                <w:sz w:val="18"/>
                <w:szCs w:val="18"/>
              </w:rPr>
            </w:pPr>
            <w:r>
              <w:rPr>
                <w:b w:val="false"/>
                <w:bCs w:val="false"/>
                <w:color w:val="000000"/>
                <w:sz w:val="18"/>
                <w:szCs w:val="18"/>
              </w:rPr>
              <w:t>NEFYAYLRKHFSMMI, YLRKHFSMMILSDDA</w:t>
            </w:r>
          </w:p>
        </w:tc>
      </w:tr>
      <w:tr>
        <w:trPr/>
        <w:tc>
          <w:tcPr>
            <w:tcW w:w="1976"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fill="FFFFFF" w:val="clear"/>
            <w:tcMar>
              <w:left w:w="49" w:type="dxa"/>
            </w:tcMar>
            <w:vAlign w:val="center"/>
          </w:tcPr>
          <w:p>
            <w:pPr>
              <w:pStyle w:val="TableContents"/>
              <w:jc w:val="left"/>
              <w:rPr>
                <w:rFonts w:ascii="Lato" w:hAnsi="Lato"/>
                <w:b w:val="false"/>
                <w:b w:val="false"/>
                <w:bCs w:val="false"/>
                <w:color w:val="000000"/>
                <w:sz w:val="18"/>
                <w:szCs w:val="18"/>
              </w:rPr>
            </w:pPr>
            <w:r>
              <w:rPr>
                <w:b w:val="false"/>
                <w:bCs w:val="false"/>
                <w:color w:val="000000"/>
                <w:sz w:val="18"/>
                <w:szCs w:val="18"/>
              </w:rPr>
              <w:t>LMIERFVSLAIDAYP</w:t>
            </w:r>
          </w:p>
        </w:tc>
        <w:tc>
          <w:tcPr>
            <w:tcW w:w="782"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fill="FFFFFF" w:val="clear"/>
            <w:tcMar>
              <w:left w:w="49" w:type="dxa"/>
            </w:tcMar>
            <w:vAlign w:val="center"/>
          </w:tcPr>
          <w:p>
            <w:pPr>
              <w:pStyle w:val="TableContents"/>
              <w:jc w:val="left"/>
              <w:rPr>
                <w:rFonts w:ascii="Lato" w:hAnsi="Lato"/>
                <w:b w:val="false"/>
                <w:b w:val="false"/>
                <w:bCs w:val="false"/>
                <w:color w:val="000000"/>
                <w:sz w:val="18"/>
                <w:szCs w:val="18"/>
              </w:rPr>
            </w:pPr>
            <w:r>
              <w:rPr>
                <w:b w:val="false"/>
                <w:bCs w:val="false"/>
                <w:color w:val="000000"/>
                <w:sz w:val="18"/>
                <w:szCs w:val="18"/>
              </w:rPr>
              <w:t>nsp12</w:t>
            </w:r>
          </w:p>
        </w:tc>
        <w:tc>
          <w:tcPr>
            <w:tcW w:w="902"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fill="FFFFFF" w:val="clear"/>
            <w:tcMar>
              <w:left w:w="49" w:type="dxa"/>
            </w:tcMar>
            <w:vAlign w:val="center"/>
          </w:tcPr>
          <w:p>
            <w:pPr>
              <w:pStyle w:val="TableContents"/>
              <w:jc w:val="left"/>
              <w:rPr>
                <w:rFonts w:ascii="Lato" w:hAnsi="Lato"/>
                <w:b w:val="false"/>
                <w:b w:val="false"/>
                <w:bCs w:val="false"/>
                <w:color w:val="000000"/>
                <w:sz w:val="18"/>
                <w:szCs w:val="18"/>
              </w:rPr>
            </w:pPr>
            <w:r>
              <w:rPr>
                <w:b w:val="false"/>
                <w:bCs w:val="false"/>
                <w:color w:val="000000"/>
                <w:sz w:val="18"/>
                <w:szCs w:val="18"/>
              </w:rPr>
              <w:t>5246</w:t>
            </w:r>
          </w:p>
        </w:tc>
        <w:tc>
          <w:tcPr>
            <w:tcW w:w="4730"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fill="FFFFFF" w:val="clear"/>
            <w:tcMar>
              <w:left w:w="49" w:type="dxa"/>
            </w:tcMar>
            <w:vAlign w:val="center"/>
          </w:tcPr>
          <w:p>
            <w:pPr>
              <w:pStyle w:val="TableContents"/>
              <w:jc w:val="left"/>
              <w:rPr>
                <w:rFonts w:ascii="Lato" w:hAnsi="Lato"/>
                <w:b w:val="false"/>
                <w:b w:val="false"/>
                <w:bCs w:val="false"/>
                <w:color w:val="000000"/>
                <w:sz w:val="18"/>
                <w:szCs w:val="18"/>
              </w:rPr>
            </w:pPr>
            <w:r>
              <w:rPr>
                <w:b w:val="false"/>
                <w:bCs w:val="false"/>
                <w:color w:val="000000"/>
                <w:sz w:val="18"/>
                <w:szCs w:val="18"/>
              </w:rPr>
              <w:t>None</w:t>
            </w:r>
          </w:p>
        </w:tc>
      </w:tr>
      <w:tr>
        <w:trPr/>
        <w:tc>
          <w:tcPr>
            <w:tcW w:w="1976"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fill="FFFFFF" w:val="clear"/>
            <w:tcMar>
              <w:left w:w="49" w:type="dxa"/>
            </w:tcMar>
            <w:vAlign w:val="center"/>
          </w:tcPr>
          <w:p>
            <w:pPr>
              <w:pStyle w:val="TableContents"/>
              <w:jc w:val="left"/>
              <w:rPr>
                <w:rFonts w:ascii="Lato" w:hAnsi="Lato"/>
                <w:b w:val="false"/>
                <w:b w:val="false"/>
                <w:bCs w:val="false"/>
                <w:color w:val="000000"/>
                <w:sz w:val="18"/>
                <w:szCs w:val="18"/>
              </w:rPr>
            </w:pPr>
            <w:r>
              <w:rPr>
                <w:b w:val="false"/>
                <w:bCs w:val="false"/>
                <w:color w:val="000000"/>
                <w:sz w:val="18"/>
                <w:szCs w:val="18"/>
              </w:rPr>
              <w:t>TSHKLVLSVNPYVCN</w:t>
            </w:r>
          </w:p>
        </w:tc>
        <w:tc>
          <w:tcPr>
            <w:tcW w:w="782"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fill="FFFFFF" w:val="clear"/>
            <w:tcMar>
              <w:left w:w="49" w:type="dxa"/>
            </w:tcMar>
            <w:vAlign w:val="center"/>
          </w:tcPr>
          <w:p>
            <w:pPr>
              <w:pStyle w:val="TableContents"/>
              <w:jc w:val="left"/>
              <w:rPr>
                <w:rFonts w:ascii="Lato" w:hAnsi="Lato"/>
                <w:b w:val="false"/>
                <w:b w:val="false"/>
                <w:bCs w:val="false"/>
                <w:color w:val="000000"/>
                <w:sz w:val="18"/>
                <w:szCs w:val="18"/>
              </w:rPr>
            </w:pPr>
            <w:r>
              <w:rPr>
                <w:b w:val="false"/>
                <w:bCs w:val="false"/>
                <w:color w:val="000000"/>
                <w:sz w:val="18"/>
                <w:szCs w:val="18"/>
              </w:rPr>
              <w:t>nsp13</w:t>
            </w:r>
          </w:p>
        </w:tc>
        <w:tc>
          <w:tcPr>
            <w:tcW w:w="902"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fill="FFFFFF" w:val="clear"/>
            <w:tcMar>
              <w:left w:w="49" w:type="dxa"/>
            </w:tcMar>
            <w:vAlign w:val="center"/>
          </w:tcPr>
          <w:p>
            <w:pPr>
              <w:pStyle w:val="TableContents"/>
              <w:jc w:val="left"/>
              <w:rPr>
                <w:rFonts w:ascii="Lato" w:hAnsi="Lato"/>
                <w:b w:val="false"/>
                <w:b w:val="false"/>
                <w:bCs w:val="false"/>
                <w:color w:val="000000"/>
                <w:sz w:val="18"/>
                <w:szCs w:val="18"/>
              </w:rPr>
            </w:pPr>
            <w:r>
              <w:rPr>
                <w:b w:val="false"/>
                <w:bCs w:val="false"/>
                <w:color w:val="000000"/>
                <w:sz w:val="18"/>
                <w:szCs w:val="18"/>
              </w:rPr>
              <w:t>5361</w:t>
            </w:r>
          </w:p>
        </w:tc>
        <w:tc>
          <w:tcPr>
            <w:tcW w:w="4730"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fill="FFFFFF" w:val="clear"/>
            <w:tcMar>
              <w:left w:w="49" w:type="dxa"/>
            </w:tcMar>
            <w:vAlign w:val="center"/>
          </w:tcPr>
          <w:p>
            <w:pPr>
              <w:pStyle w:val="TableContents"/>
              <w:jc w:val="left"/>
              <w:rPr>
                <w:rFonts w:ascii="Lato" w:hAnsi="Lato"/>
                <w:b w:val="false"/>
                <w:b w:val="false"/>
                <w:bCs w:val="false"/>
                <w:color w:val="000000"/>
                <w:sz w:val="18"/>
                <w:szCs w:val="18"/>
              </w:rPr>
            </w:pPr>
            <w:r>
              <w:rPr>
                <w:b w:val="false"/>
                <w:bCs w:val="false"/>
                <w:color w:val="000000"/>
                <w:sz w:val="18"/>
                <w:szCs w:val="18"/>
              </w:rPr>
              <w:t>None</w:t>
            </w:r>
          </w:p>
        </w:tc>
      </w:tr>
      <w:tr>
        <w:trPr/>
        <w:tc>
          <w:tcPr>
            <w:tcW w:w="1976"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fill="FFFFFF" w:val="clear"/>
            <w:tcMar>
              <w:left w:w="49" w:type="dxa"/>
            </w:tcMar>
            <w:vAlign w:val="center"/>
          </w:tcPr>
          <w:p>
            <w:pPr>
              <w:pStyle w:val="TableContents"/>
              <w:jc w:val="left"/>
              <w:rPr>
                <w:rFonts w:ascii="Lato" w:hAnsi="Lato"/>
                <w:b w:val="false"/>
                <w:b w:val="false"/>
                <w:bCs w:val="false"/>
                <w:color w:val="000000"/>
                <w:sz w:val="18"/>
                <w:szCs w:val="18"/>
              </w:rPr>
            </w:pPr>
            <w:r>
              <w:rPr>
                <w:b w:val="false"/>
                <w:bCs w:val="false"/>
                <w:color w:val="000000"/>
                <w:sz w:val="18"/>
                <w:szCs w:val="18"/>
              </w:rPr>
              <w:t>NVNRFNVAITRAKVG</w:t>
            </w:r>
          </w:p>
        </w:tc>
        <w:tc>
          <w:tcPr>
            <w:tcW w:w="782"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fill="FFFFFF" w:val="clear"/>
            <w:tcMar>
              <w:left w:w="49" w:type="dxa"/>
            </w:tcMar>
            <w:vAlign w:val="center"/>
          </w:tcPr>
          <w:p>
            <w:pPr>
              <w:pStyle w:val="TableContents"/>
              <w:jc w:val="left"/>
              <w:rPr>
                <w:rFonts w:ascii="Lato" w:hAnsi="Lato"/>
                <w:b w:val="false"/>
                <w:b w:val="false"/>
                <w:bCs w:val="false"/>
                <w:color w:val="000000"/>
                <w:sz w:val="18"/>
                <w:szCs w:val="18"/>
              </w:rPr>
            </w:pPr>
            <w:r>
              <w:rPr>
                <w:b w:val="false"/>
                <w:bCs w:val="false"/>
                <w:color w:val="000000"/>
                <w:sz w:val="18"/>
                <w:szCs w:val="18"/>
              </w:rPr>
              <w:t>nsp13</w:t>
            </w:r>
          </w:p>
        </w:tc>
        <w:tc>
          <w:tcPr>
            <w:tcW w:w="902"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fill="FFFFFF" w:val="clear"/>
            <w:tcMar>
              <w:left w:w="49" w:type="dxa"/>
            </w:tcMar>
            <w:vAlign w:val="center"/>
          </w:tcPr>
          <w:p>
            <w:pPr>
              <w:pStyle w:val="TableContents"/>
              <w:jc w:val="left"/>
              <w:rPr>
                <w:rFonts w:ascii="Lato" w:hAnsi="Lato"/>
                <w:b w:val="false"/>
                <w:b w:val="false"/>
                <w:bCs w:val="false"/>
                <w:color w:val="000000"/>
                <w:sz w:val="18"/>
                <w:szCs w:val="18"/>
              </w:rPr>
            </w:pPr>
            <w:r>
              <w:rPr>
                <w:b w:val="false"/>
                <w:bCs w:val="false"/>
                <w:color w:val="000000"/>
                <w:sz w:val="18"/>
                <w:szCs w:val="18"/>
              </w:rPr>
              <w:t>5881</w:t>
            </w:r>
          </w:p>
        </w:tc>
        <w:tc>
          <w:tcPr>
            <w:tcW w:w="4730"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fill="FFFFFF" w:val="clear"/>
            <w:tcMar>
              <w:left w:w="49" w:type="dxa"/>
            </w:tcMar>
            <w:vAlign w:val="center"/>
          </w:tcPr>
          <w:p>
            <w:pPr>
              <w:pStyle w:val="TableContents"/>
              <w:jc w:val="left"/>
              <w:rPr>
                <w:rFonts w:ascii="Lato" w:hAnsi="Lato"/>
                <w:b w:val="false"/>
                <w:b w:val="false"/>
                <w:bCs w:val="false"/>
                <w:color w:val="000000"/>
                <w:sz w:val="18"/>
                <w:szCs w:val="18"/>
              </w:rPr>
            </w:pPr>
            <w:r>
              <w:rPr>
                <w:b w:val="false"/>
                <w:bCs w:val="false"/>
                <w:color w:val="000000"/>
                <w:sz w:val="18"/>
                <w:szCs w:val="18"/>
              </w:rPr>
              <w:t>VNRFNVAITRAKVGI</w:t>
            </w:r>
          </w:p>
        </w:tc>
      </w:tr>
    </w:tbl>
    <w:p>
      <w:pPr>
        <w:pStyle w:val="Normal"/>
        <w:spacing w:lineRule="auto" w:line="360"/>
        <w:jc w:val="both"/>
        <w:rPr>
          <w:rFonts w:ascii="Lato" w:hAnsi="Lato" w:cs="Times New Roman"/>
          <w:b/>
          <w:b/>
          <w:bCs/>
          <w:i w:val="false"/>
          <w:i w:val="false"/>
          <w:caps w:val="false"/>
          <w:smallCaps w:val="false"/>
          <w:color w:val="000000"/>
          <w:spacing w:val="0"/>
          <w:sz w:val="22"/>
          <w:szCs w:val="22"/>
        </w:rPr>
      </w:pPr>
      <w:r>
        <w:rPr>
          <w:rFonts w:cs="Times New Roman"/>
          <w:b/>
          <w:bCs/>
          <w:i w:val="false"/>
          <w:caps w:val="false"/>
          <w:smallCaps w:val="false"/>
          <w:color w:val="000000"/>
          <w:spacing w:val="0"/>
          <w:sz w:val="22"/>
          <w:szCs w:val="22"/>
        </w:rPr>
      </w:r>
    </w:p>
    <w:p>
      <w:pPr>
        <w:pStyle w:val="Normal"/>
        <w:spacing w:lineRule="auto" w:line="360"/>
        <w:jc w:val="both"/>
        <w:rPr>
          <w:rFonts w:ascii="Lato" w:hAnsi="Lato" w:cs="Times New Roman"/>
          <w:b/>
          <w:b/>
          <w:bCs/>
          <w:i w:val="false"/>
          <w:i w:val="false"/>
          <w:caps w:val="false"/>
          <w:smallCaps w:val="false"/>
          <w:color w:val="000000"/>
          <w:spacing w:val="0"/>
          <w:sz w:val="22"/>
          <w:szCs w:val="22"/>
        </w:rPr>
      </w:pPr>
      <w:r>
        <w:rPr>
          <w:rFonts w:cs="Times New Roman"/>
          <w:b/>
          <w:bCs/>
          <w:i w:val="false"/>
          <w:caps w:val="false"/>
          <w:smallCaps w:val="false"/>
          <w:color w:val="000000"/>
          <w:spacing w:val="0"/>
          <w:sz w:val="22"/>
          <w:szCs w:val="22"/>
        </w:rPr>
      </w:r>
    </w:p>
    <w:p>
      <w:pPr>
        <w:pStyle w:val="Heading1"/>
        <w:rPr>
          <w:rFonts w:ascii="Lato" w:hAnsi="Lato"/>
        </w:rPr>
      </w:pPr>
      <w:r>
        <w:rPr/>
        <w:t>Usage</w:t>
      </w:r>
    </w:p>
    <w:p>
      <w:pPr>
        <w:pStyle w:val="Heading2"/>
        <w:rPr/>
      </w:pPr>
      <w:r>
        <w:rPr/>
        <w:t>Command Line Interface</w:t>
      </w:r>
    </w:p>
    <w:p>
      <w:pPr>
        <w:pStyle w:val="Normal"/>
        <w:rPr/>
      </w:pPr>
      <w:r>
        <w:rPr/>
        <w:t>Installing the package provides a command line tool that is run from a terminal. It is envisaged that most users will utilise the package using this tool since it requires no programming knowledge. It provides pre-defined functionality with all inputs and settings specified in a text configuration file. One advantage of using configuration files is in avoiding long commands with multiple arguments that may be prone to causing errors. Also configuration files can be kept to recall what setting was used for a particular workflow. Using this you can make MHC predictions with your chosen alleles and predictors in one run. If settings are left out generally defaults will be used so one can use a minimal file, simplifying usage. Other useful features of the tool are the ability to run predictions in parallel using multiple processing cores, the use of preset lists of alleles and resuming runs that have been interrupted without overwriting previous predictions. Results are saved to disk as text files and can be re-read in a subsequent run of the tool without having to re-calculate bninding predictions.</w:t>
      </w:r>
    </w:p>
    <w:p>
      <w:pPr>
        <w:pStyle w:val="Normal"/>
        <w:rPr/>
      </w:pPr>
      <w:r>
        <w:rPr/>
        <w:t>By default the command line tool will calculate the promiscuous binders to give you a unique list of peptides and include the number of alleles in which it is a binder. The table is ranked by this value and the maximum score over the alleles tested.</w:t>
      </w:r>
    </w:p>
    <w:p>
      <w:pPr>
        <w:pStyle w:val="Heading2"/>
        <w:rPr/>
      </w:pPr>
      <w:r>
        <w:rPr/>
        <w:t>API usage</w:t>
      </w:r>
    </w:p>
    <w:p>
      <w:pPr>
        <w:pStyle w:val="Normal"/>
        <w:rPr/>
      </w:pPr>
      <w:r>
        <w:rPr/>
        <w:t>A very basic example of how to use the library from the Python API is given here. More complex usage is detailed in the documentation.</w:t>
      </w:r>
    </w:p>
    <w:p>
      <w:pPr>
        <w:pStyle w:val="Normal"/>
        <w:rPr/>
      </w:pPr>
      <w:r>
        <w:rPr/>
      </w:r>
    </w:p>
    <w:p>
      <w:pPr>
        <w:pStyle w:val="Code"/>
        <w:rPr/>
      </w:pPr>
      <w:r>
        <w:rPr/>
        <w:t>import epitopepredict as ep</w:t>
      </w:r>
    </w:p>
    <w:p>
      <w:pPr>
        <w:pStyle w:val="Code"/>
        <w:rPr/>
      </w:pPr>
      <w:r>
        <w:rPr/>
        <w:t>P = ep.get_predictor('basicmhc1')</w:t>
      </w:r>
    </w:p>
    <w:p>
      <w:pPr>
        <w:pStyle w:val="Code"/>
        <w:rPr/>
      </w:pPr>
      <w:r>
        <w:rPr/>
        <w:t>from epitopepredict import peptutils</w:t>
      </w:r>
    </w:p>
    <w:p>
      <w:pPr>
        <w:pStyle w:val="Code"/>
        <w:rPr/>
      </w:pPr>
      <w:r>
        <w:rPr/>
        <w:t>#get some random peptides, returns a list</w:t>
      </w:r>
    </w:p>
    <w:p>
      <w:pPr>
        <w:pStyle w:val="Code"/>
        <w:rPr/>
      </w:pPr>
      <w:r>
        <w:rPr/>
        <w:t>seqs = peptutils.create_random_sequences(10)</w:t>
      </w:r>
    </w:p>
    <w:p>
      <w:pPr>
        <w:pStyle w:val="Code"/>
        <w:rPr/>
      </w:pPr>
      <w:r>
        <w:rPr/>
        <w:t>#run predictions</w:t>
      </w:r>
    </w:p>
    <w:p>
      <w:pPr>
        <w:pStyle w:val="Code"/>
        <w:rPr/>
      </w:pPr>
      <w:r>
        <w:rPr/>
        <w:t>res = P.predict_peptides(seqs, alleles='HLA-A*01:01')</w:t>
      </w:r>
    </w:p>
    <w:p>
      <w:pPr>
        <w:pStyle w:val="Normal"/>
        <w:spacing w:lineRule="auto" w:line="360"/>
        <w:jc w:val="both"/>
        <w:rPr>
          <w:rFonts w:ascii="Lato" w:hAnsi="Lato"/>
          <w:b/>
          <w:b/>
          <w:bCs/>
          <w:i w:val="false"/>
          <w:i w:val="false"/>
          <w:caps w:val="false"/>
          <w:smallCaps w:val="false"/>
          <w:color w:val="000000"/>
          <w:spacing w:val="0"/>
          <w:sz w:val="20"/>
          <w:szCs w:val="20"/>
        </w:rPr>
      </w:pPr>
      <w:r>
        <w:rPr>
          <w:b/>
          <w:bCs/>
          <w:i w:val="false"/>
          <w:caps w:val="false"/>
          <w:smallCaps w:val="false"/>
          <w:color w:val="000000"/>
          <w:spacing w:val="0"/>
          <w:sz w:val="20"/>
          <w:szCs w:val="20"/>
        </w:rPr>
      </w:r>
    </w:p>
    <w:p>
      <w:pPr>
        <w:pStyle w:val="Normal"/>
        <w:spacing w:lineRule="auto" w:line="360"/>
        <w:jc w:val="both"/>
        <w:rPr>
          <w:rFonts w:ascii="Lato" w:hAnsi="Lato"/>
        </w:rPr>
      </w:pPr>
      <w:r>
        <w:rPr>
          <w:b w:val="false"/>
          <w:bCs/>
          <w:i w:val="false"/>
          <w:caps w:val="false"/>
          <w:smallCaps w:val="false"/>
          <w:color w:val="000000"/>
          <w:spacing w:val="0"/>
          <w:sz w:val="22"/>
          <w:szCs w:val="22"/>
        </w:rPr>
        <w:t>The above code returns a pandas DataFrame sorted by allele and rank.</w:t>
      </w:r>
    </w:p>
    <w:p>
      <w:pPr>
        <w:pStyle w:val="Normal"/>
        <w:spacing w:lineRule="auto" w:line="360"/>
        <w:jc w:val="both"/>
        <w:rPr>
          <w:rFonts w:ascii="Lato" w:hAnsi="Lato"/>
          <w:b/>
          <w:b/>
          <w:bCs/>
          <w:i w:val="false"/>
          <w:i w:val="false"/>
          <w:caps w:val="false"/>
          <w:smallCaps w:val="false"/>
          <w:color w:val="000000"/>
          <w:spacing w:val="0"/>
          <w:sz w:val="22"/>
          <w:szCs w:val="22"/>
        </w:rPr>
      </w:pPr>
      <w:r>
        <w:rPr>
          <w:b/>
          <w:bCs/>
          <w:i w:val="false"/>
          <w:caps w:val="false"/>
          <w:smallCaps w:val="false"/>
          <w:color w:val="000000"/>
          <w:spacing w:val="0"/>
          <w:sz w:val="22"/>
          <w:szCs w:val="22"/>
        </w:rPr>
      </w:r>
    </w:p>
    <w:p>
      <w:pPr>
        <w:pStyle w:val="Heading3"/>
        <w:rPr/>
      </w:pPr>
      <w:r>
        <w:rPr/>
        <w:t>Plotting</w:t>
      </w:r>
    </w:p>
    <w:p>
      <w:pPr>
        <w:pStyle w:val="Normal"/>
        <w:spacing w:lineRule="auto" w:line="360"/>
        <w:jc w:val="both"/>
        <w:rPr>
          <w:rFonts w:ascii="Lato" w:hAnsi="Lato"/>
          <w:b w:val="false"/>
          <w:b w:val="false"/>
          <w:bCs w:val="false"/>
          <w:i w:val="false"/>
          <w:i w:val="false"/>
          <w:caps w:val="false"/>
          <w:smallCaps w:val="false"/>
          <w:color w:val="000000"/>
          <w:spacing w:val="0"/>
          <w:sz w:val="22"/>
          <w:szCs w:val="22"/>
        </w:rPr>
      </w:pPr>
      <w:r>
        <w:rPr>
          <w:b w:val="false"/>
          <w:bCs w:val="false"/>
          <w:i w:val="false"/>
          <w:caps w:val="false"/>
          <w:smallCaps w:val="false"/>
          <w:color w:val="000000"/>
          <w:spacing w:val="0"/>
          <w:sz w:val="22"/>
          <w:szCs w:val="22"/>
        </w:rPr>
      </w:r>
    </w:p>
    <w:p>
      <w:pPr>
        <w:pStyle w:val="Normal"/>
        <w:spacing w:lineRule="auto" w:line="360"/>
        <w:jc w:val="both"/>
        <w:rPr/>
      </w:pPr>
      <w:r>
        <w:rPr>
          <w:b w:val="false"/>
          <w:bCs w:val="false"/>
          <w:i w:val="false"/>
          <w:caps w:val="false"/>
          <w:smallCaps w:val="false"/>
          <w:color w:val="000000"/>
          <w:spacing w:val="0"/>
          <w:sz w:val="22"/>
          <w:szCs w:val="22"/>
        </w:rPr>
        <w:t>The API includes the ability to plot results for individual protein sequences for one or more predictor. In such plots binders are shown as colored blocks at their position in the protein with multiple tracks, one per allele/method. This allows ready comparisons between methods. An example is shown in Figure 3. This shows binders for three MHC-class I predictors for an antigenic Mtb protein, Rv3875. Six HLA alleles are shown. We can see that each method has some overlap with the others.</w:t>
      </w:r>
    </w:p>
    <w:p>
      <w:pPr>
        <w:pStyle w:val="Normal"/>
        <w:spacing w:lineRule="auto" w:line="360"/>
        <w:jc w:val="both"/>
        <w:rPr>
          <w:rFonts w:ascii="Lato" w:hAnsi="Lato"/>
          <w:b w:val="false"/>
          <w:b w:val="false"/>
          <w:bCs w:val="false"/>
          <w:i w:val="false"/>
          <w:i w:val="false"/>
          <w:caps w:val="false"/>
          <w:smallCaps w:val="false"/>
          <w:color w:val="000000"/>
          <w:spacing w:val="0"/>
          <w:sz w:val="22"/>
          <w:szCs w:val="22"/>
        </w:rPr>
      </w:pPr>
      <w:r>
        <w:rPr>
          <w:b w:val="false"/>
          <w:bCs w:val="false"/>
          <w:i w:val="false"/>
          <w:caps w:val="false"/>
          <w:smallCaps w:val="false"/>
          <w:color w:val="000000"/>
          <w:spacing w:val="0"/>
          <w:sz w:val="22"/>
          <w:szCs w:val="22"/>
        </w:rPr>
      </w:r>
    </w:p>
    <w:p>
      <w:pPr>
        <w:pStyle w:val="Normal"/>
        <w:spacing w:lineRule="auto" w:line="360"/>
        <w:jc w:val="center"/>
        <w:rPr>
          <w:rFonts w:ascii="Lato" w:hAnsi="Lato"/>
          <w:b w:val="false"/>
          <w:b w:val="false"/>
          <w:bCs w:val="false"/>
          <w:i w:val="false"/>
          <w:i w:val="false"/>
          <w:caps w:val="false"/>
          <w:smallCaps w:val="false"/>
          <w:color w:val="000000"/>
          <w:spacing w:val="0"/>
          <w:sz w:val="22"/>
          <w:szCs w:val="22"/>
        </w:rPr>
      </w:pPr>
      <w:r>
        <w:rPr/>
        <w:drawing>
          <wp:inline distT="0" distB="0" distL="0" distR="0">
            <wp:extent cx="4762500" cy="952500"/>
            <wp:effectExtent l="0" t="0" r="0" b="0"/>
            <wp:docPr id="3" name="Image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2" descr=""/>
                    <pic:cNvPicPr>
                      <a:picLocks noChangeAspect="1" noChangeArrowheads="1"/>
                    </pic:cNvPicPr>
                  </pic:nvPicPr>
                  <pic:blipFill>
                    <a:blip r:embed="rId7"/>
                    <a:stretch>
                      <a:fillRect/>
                    </a:stretch>
                  </pic:blipFill>
                  <pic:spPr bwMode="auto">
                    <a:xfrm>
                      <a:off x="0" y="0"/>
                      <a:ext cx="4762500" cy="952500"/>
                    </a:xfrm>
                    <a:prstGeom prst="rect">
                      <a:avLst/>
                    </a:prstGeom>
                  </pic:spPr>
                </pic:pic>
              </a:graphicData>
            </a:graphic>
          </wp:inline>
        </w:drawing>
      </w:r>
    </w:p>
    <w:p>
      <w:pPr>
        <w:pStyle w:val="Figure"/>
        <w:rPr/>
      </w:pPr>
      <w:r>
        <w:rPr/>
        <w:t xml:space="preserve">Figure </w:t>
      </w:r>
      <w:r>
        <w:rPr/>
        <w:fldChar w:fldCharType="begin"/>
      </w:r>
      <w:r>
        <w:instrText> SEQ Figure \* ARABIC </w:instrText>
      </w:r>
      <w:r>
        <w:fldChar w:fldCharType="separate"/>
      </w:r>
      <w:r>
        <w:t>3</w:t>
      </w:r>
      <w:r>
        <w:fldChar w:fldCharType="end"/>
      </w:r>
      <w:r>
        <w:rPr/>
        <w:t>: Predicted ‘promiscuous’ binders in a sample sequence for three methods. Each method will have some overlapping peptides but they are usually likely to differ.</w:t>
      </w:r>
    </w:p>
    <w:p>
      <w:pPr>
        <w:pStyle w:val="Heading3"/>
        <w:rPr/>
      </w:pPr>
      <w:r>
        <w:rPr/>
        <w:t>Testing</w:t>
      </w:r>
    </w:p>
    <w:p>
      <w:pPr>
        <w:pStyle w:val="Normal"/>
        <w:spacing w:lineRule="auto" w:line="360"/>
        <w:jc w:val="both"/>
        <w:rPr>
          <w:rFonts w:ascii="Lato" w:hAnsi="Lato"/>
          <w:b w:val="false"/>
          <w:b w:val="false"/>
          <w:bCs w:val="false"/>
          <w:i w:val="false"/>
          <w:i w:val="false"/>
          <w:caps w:val="false"/>
          <w:smallCaps w:val="false"/>
          <w:color w:val="000000"/>
          <w:spacing w:val="0"/>
          <w:sz w:val="22"/>
          <w:szCs w:val="22"/>
        </w:rPr>
      </w:pPr>
      <w:r>
        <w:rPr>
          <w:b w:val="false"/>
          <w:bCs w:val="false"/>
          <w:i w:val="false"/>
          <w:caps w:val="false"/>
          <w:smallCaps w:val="false"/>
          <w:color w:val="000000"/>
          <w:spacing w:val="0"/>
          <w:sz w:val="22"/>
          <w:szCs w:val="22"/>
        </w:rPr>
      </w:r>
    </w:p>
    <w:p>
      <w:pPr>
        <w:pStyle w:val="Normal"/>
        <w:spacing w:lineRule="auto" w:line="360"/>
        <w:jc w:val="both"/>
        <w:rPr>
          <w:rFonts w:ascii="Lato" w:hAnsi="Lato"/>
          <w:b w:val="false"/>
          <w:b w:val="false"/>
          <w:i w:val="false"/>
          <w:i w:val="false"/>
          <w:caps w:val="false"/>
          <w:smallCaps w:val="false"/>
          <w:color w:val="000000"/>
          <w:spacing w:val="0"/>
          <w:sz w:val="22"/>
        </w:rPr>
      </w:pPr>
      <w:r>
        <w:rPr>
          <w:b w:val="false"/>
          <w:bCs w:val="false"/>
          <w:i w:val="false"/>
          <w:caps w:val="false"/>
          <w:smallCaps w:val="false"/>
          <w:color w:val="000000"/>
          <w:spacing w:val="0"/>
          <w:sz w:val="22"/>
          <w:szCs w:val="22"/>
        </w:rPr>
        <w:t xml:space="preserve">The command line tool can be tested by calling  </w:t>
      </w:r>
      <w:r>
        <w:rPr>
          <w:b/>
          <w:bCs/>
          <w:i w:val="false"/>
          <w:caps w:val="false"/>
          <w:smallCaps w:val="false"/>
          <w:color w:val="000000"/>
          <w:spacing w:val="0"/>
          <w:sz w:val="20"/>
          <w:szCs w:val="20"/>
        </w:rPr>
        <w:t xml:space="preserve">epitopepredict -t </w:t>
      </w:r>
      <w:r>
        <w:rPr>
          <w:b w:val="false"/>
          <w:bCs w:val="false"/>
          <w:i w:val="false"/>
          <w:caps w:val="false"/>
          <w:smallCaps w:val="false"/>
          <w:color w:val="000000"/>
          <w:spacing w:val="0"/>
          <w:sz w:val="22"/>
          <w:szCs w:val="22"/>
        </w:rPr>
        <w:t xml:space="preserve">which runs a set of sample </w:t>
      </w:r>
      <w:r>
        <w:rPr>
          <w:b w:val="false"/>
          <w:i w:val="false"/>
          <w:caps w:val="false"/>
          <w:smallCaps w:val="false"/>
          <w:color w:val="000000"/>
          <w:spacing w:val="0"/>
          <w:sz w:val="22"/>
          <w:szCs w:val="22"/>
        </w:rPr>
        <w:t>ebola virus</w:t>
      </w:r>
      <w:r>
        <w:rPr>
          <w:b w:val="false"/>
          <w:i w:val="false"/>
          <w:caps w:val="false"/>
          <w:smallCaps w:val="false"/>
          <w:color w:val="24292E"/>
          <w:spacing w:val="0"/>
          <w:sz w:val="18"/>
        </w:rPr>
        <w:t xml:space="preserve"> </w:t>
      </w:r>
      <w:r>
        <w:rPr>
          <w:b w:val="false"/>
          <w:bCs w:val="false"/>
          <w:i w:val="false"/>
          <w:caps w:val="false"/>
          <w:smallCaps w:val="false"/>
          <w:color w:val="000000"/>
          <w:spacing w:val="0"/>
          <w:sz w:val="22"/>
          <w:szCs w:val="22"/>
        </w:rPr>
        <w:t>sequences with the available prediction methods. Outputs are saved to a folder called zaire_test. It should be noted that this is not used as a benchmark test since the algorithms used have all been tested independently. This is an example run for the user to check that the command line workflow is working and to inspect the outputs.</w:t>
      </w:r>
    </w:p>
    <w:p>
      <w:pPr>
        <w:pStyle w:val="Normal"/>
        <w:spacing w:lineRule="auto" w:line="360"/>
        <w:jc w:val="both"/>
        <w:rPr>
          <w:rFonts w:ascii="Lato" w:hAnsi="Lato"/>
          <w:b/>
          <w:b/>
          <w:bCs/>
          <w:i w:val="false"/>
          <w:i w:val="false"/>
          <w:caps w:val="false"/>
          <w:smallCaps w:val="false"/>
          <w:color w:val="000000"/>
          <w:spacing w:val="0"/>
          <w:sz w:val="22"/>
          <w:szCs w:val="22"/>
        </w:rPr>
      </w:pPr>
      <w:r>
        <w:rPr>
          <w:b/>
          <w:bCs/>
          <w:i w:val="false"/>
          <w:caps w:val="false"/>
          <w:smallCaps w:val="false"/>
          <w:color w:val="000000"/>
          <w:spacing w:val="0"/>
          <w:sz w:val="22"/>
          <w:szCs w:val="22"/>
        </w:rPr>
      </w:r>
    </w:p>
    <w:p>
      <w:pPr>
        <w:pStyle w:val="Heading2"/>
        <w:rPr/>
      </w:pPr>
      <w:r>
        <w:rPr/>
        <w:t>Web Application</w:t>
      </w:r>
    </w:p>
    <w:p>
      <w:pPr>
        <w:pStyle w:val="TextBody"/>
        <w:widowControl/>
        <w:spacing w:lineRule="atLeast" w:line="356" w:before="0" w:after="356"/>
        <w:ind w:left="0" w:right="0" w:hanging="0"/>
        <w:jc w:val="both"/>
        <w:rPr/>
      </w:pPr>
      <w:r>
        <w:rPr>
          <w:b w:val="false"/>
          <w:i w:val="false"/>
          <w:caps w:val="false"/>
          <w:smallCaps w:val="false"/>
          <w:color w:val="000000"/>
          <w:spacing w:val="0"/>
          <w:sz w:val="22"/>
          <w:szCs w:val="22"/>
        </w:rPr>
        <w:t xml:space="preserve">A web interface that is launched from the command line can be used to view results from a set of predictions that have been previously made. This is an improved and much easier to use form of a previous web interface called epitopemap </w:t>
      </w:r>
      <w:r>
        <w:rPr>
          <w:b w:val="false"/>
          <w:i w:val="false"/>
          <w:caps w:val="false"/>
          <w:smallCaps w:val="false"/>
          <w:color w:val="000000"/>
          <w:spacing w:val="0"/>
          <w:position w:val="0"/>
          <w:sz w:val="22"/>
          <w:sz w:val="22"/>
          <w:szCs w:val="22"/>
          <w:vertAlign w:val="baseline"/>
        </w:rPr>
        <w:t>[29]</w:t>
      </w:r>
      <w:r>
        <w:rPr>
          <w:b w:val="false"/>
          <w:i w:val="false"/>
          <w:caps w:val="false"/>
          <w:smallCaps w:val="false"/>
          <w:color w:val="000000"/>
          <w:spacing w:val="0"/>
          <w:sz w:val="22"/>
          <w:szCs w:val="22"/>
        </w:rPr>
        <w:t>⁠ and replaces it. Widgets can be used to select thresholds and the kind of plot shown. Currently two kinds of plots can be viewed, a sequence view and one that shows the peptides as colored blocks in tracks along the sequence, as shown in Figure 4. This web interface can be tested by running the test command above and then launching the web app using the zaire_test folder as input.</w:t>
      </w:r>
    </w:p>
    <w:p>
      <w:pPr>
        <w:pStyle w:val="Figure"/>
        <w:widowControl/>
        <w:spacing w:lineRule="auto" w:line="360" w:before="0" w:after="356"/>
        <w:ind w:left="0" w:right="0" w:hanging="0"/>
        <w:jc w:val="center"/>
        <w:rPr/>
      </w:pPr>
      <w:r>
        <w:rPr/>
        <w:drawing>
          <wp:inline distT="0" distB="0" distL="0" distR="0">
            <wp:extent cx="4762500" cy="952500"/>
            <wp:effectExtent l="0" t="0" r="0" b="0"/>
            <wp:docPr id="4" name="Image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1" descr=""/>
                    <pic:cNvPicPr>
                      <a:picLocks noChangeAspect="1" noChangeArrowheads="1"/>
                    </pic:cNvPicPr>
                  </pic:nvPicPr>
                  <pic:blipFill>
                    <a:blip r:embed="rId8"/>
                    <a:stretch>
                      <a:fillRect/>
                    </a:stretch>
                  </pic:blipFill>
                  <pic:spPr bwMode="auto">
                    <a:xfrm>
                      <a:off x="0" y="0"/>
                      <a:ext cx="4762500" cy="952500"/>
                    </a:xfrm>
                    <a:prstGeom prst="rect">
                      <a:avLst/>
                    </a:prstGeom>
                  </pic:spPr>
                </pic:pic>
              </a:graphicData>
            </a:graphic>
          </wp:inline>
        </w:drawing>
      </w:r>
    </w:p>
    <w:p>
      <w:pPr>
        <w:pStyle w:val="Figure"/>
        <w:rPr/>
      </w:pPr>
      <w:r>
        <w:rPr>
          <w:rFonts w:cs="Times New Roman"/>
          <w:b w:val="false"/>
          <w:bCs w:val="false"/>
          <w:caps w:val="false"/>
          <w:smallCaps w:val="false"/>
          <w:color w:val="000000"/>
          <w:spacing w:val="0"/>
          <w:sz w:val="22"/>
          <w:szCs w:val="22"/>
        </w:rPr>
        <w:t xml:space="preserve">Figure </w:t>
      </w:r>
      <w:r>
        <w:rPr>
          <w:rFonts w:cs="Times New Roman"/>
          <w:b w:val="false"/>
          <w:bCs w:val="false"/>
          <w:caps w:val="false"/>
          <w:smallCaps w:val="false"/>
          <w:color w:val="000000"/>
          <w:spacing w:val="0"/>
          <w:sz w:val="22"/>
          <w:szCs w:val="22"/>
        </w:rPr>
        <w:fldChar w:fldCharType="begin"/>
      </w:r>
      <w:r>
        <w:instrText> SEQ Figure \* ARABIC </w:instrText>
      </w:r>
      <w:r>
        <w:fldChar w:fldCharType="separate"/>
      </w:r>
      <w:r>
        <w:t>4</w:t>
      </w:r>
      <w:r>
        <w:fldChar w:fldCharType="end"/>
      </w:r>
      <w:r>
        <w:rPr>
          <w:rFonts w:cs="Times New Roman"/>
          <w:b w:val="false"/>
          <w:bCs w:val="false"/>
          <w:caps w:val="false"/>
          <w:smallCaps w:val="false"/>
          <w:color w:val="000000"/>
          <w:spacing w:val="0"/>
          <w:sz w:val="22"/>
          <w:szCs w:val="22"/>
        </w:rPr>
        <w:t xml:space="preserve">: Web application showing results for a single protein sequence. Widgets can be used to select </w:t>
      </w:r>
      <w:r>
        <w:rPr>
          <w:rFonts w:eastAsia="DejaVu Sans" w:cs="Times New Roman"/>
          <w:b w:val="false"/>
          <w:bCs w:val="false"/>
          <w:caps w:val="false"/>
          <w:smallCaps w:val="false"/>
          <w:color w:val="000000"/>
          <w:spacing w:val="0"/>
          <w:sz w:val="22"/>
          <w:szCs w:val="22"/>
          <w:lang w:val="en-GB" w:eastAsia="zh-CN" w:bidi="hi-IN"/>
        </w:rPr>
        <w:t>protein, cut-off levels and</w:t>
      </w:r>
    </w:p>
    <w:p>
      <w:pPr>
        <w:pStyle w:val="Heading1"/>
        <w:rPr/>
      </w:pPr>
      <w:r>
        <w:rPr>
          <w:rFonts w:cs="Times New Roman"/>
          <w:b/>
          <w:bCs/>
        </w:rPr>
        <w:t>Conclusions</w:t>
      </w:r>
    </w:p>
    <w:p>
      <w:pPr>
        <w:pStyle w:val="Normal"/>
        <w:spacing w:lineRule="auto" w:line="360"/>
        <w:rPr>
          <w:rFonts w:ascii="Lato" w:hAnsi="Lato" w:cs="Times New Roman"/>
          <w:b w:val="false"/>
          <w:b w:val="false"/>
          <w:bCs w:val="false"/>
          <w:color w:val="000000"/>
          <w:sz w:val="22"/>
          <w:szCs w:val="22"/>
        </w:rPr>
      </w:pPr>
      <w:r>
        <w:rPr>
          <w:rFonts w:cs="Times New Roman"/>
          <w:b w:val="false"/>
          <w:bCs w:val="false"/>
          <w:color w:val="000000"/>
          <w:sz w:val="22"/>
          <w:szCs w:val="22"/>
        </w:rPr>
      </w:r>
    </w:p>
    <w:p>
      <w:pPr>
        <w:pStyle w:val="Normal"/>
        <w:spacing w:lineRule="auto" w:line="360"/>
        <w:ind w:left="0" w:right="0" w:hanging="0"/>
        <w:jc w:val="both"/>
        <w:rPr>
          <w:rFonts w:ascii="Lato" w:hAnsi="Lato"/>
        </w:rPr>
      </w:pPr>
      <w:r>
        <w:rPr>
          <w:rFonts w:eastAsia="Lohit Hindi" w:cs="Times New Roman"/>
          <w:b w:val="false"/>
          <w:bCs w:val="false"/>
          <w:color w:val="000000"/>
          <w:sz w:val="22"/>
          <w:szCs w:val="22"/>
          <w:lang w:val="en-GB" w:eastAsia="zh-CN" w:bidi="hi-IN"/>
        </w:rPr>
        <w:t>This software</w:t>
      </w:r>
      <w:r>
        <w:rPr>
          <w:rFonts w:cs="Times New Roman"/>
          <w:b w:val="false"/>
          <w:bCs w:val="false"/>
          <w:color w:val="000000"/>
          <w:sz w:val="22"/>
          <w:szCs w:val="22"/>
        </w:rPr>
        <w:t xml:space="preserve"> provides a programmatic framework and command line interface for running multiple MHC binding prediction algorithms. This will be especially useful for performing high throughput calculations in many sequences and alleles. It is designed to scale for </w:t>
      </w:r>
      <w:r>
        <w:rPr>
          <w:rFonts w:eastAsia="Lohit Hindi" w:cs="Times New Roman"/>
          <w:b w:val="false"/>
          <w:bCs w:val="false"/>
          <w:color w:val="000000"/>
          <w:sz w:val="22"/>
          <w:szCs w:val="22"/>
          <w:lang w:val="en-GB" w:eastAsia="zh-CN" w:bidi="hi-IN"/>
        </w:rPr>
        <w:t>p</w:t>
      </w:r>
      <w:r>
        <w:rPr>
          <w:rFonts w:cs="Times New Roman"/>
          <w:b w:val="false"/>
          <w:bCs w:val="false"/>
          <w:color w:val="000000"/>
          <w:sz w:val="22"/>
          <w:szCs w:val="22"/>
        </w:rPr>
        <w:t xml:space="preserve">roteome scanning by allowing multiple processing threads to be used </w:t>
      </w:r>
      <w:r>
        <w:rPr>
          <w:rFonts w:eastAsia="Lohit Hindi" w:cs="Times New Roman"/>
          <w:b w:val="false"/>
          <w:bCs w:val="false"/>
          <w:color w:val="000000"/>
          <w:sz w:val="22"/>
          <w:szCs w:val="22"/>
          <w:lang w:val="en-GB" w:eastAsia="zh-CN" w:bidi="hi-IN"/>
        </w:rPr>
        <w:t>with</w:t>
      </w:r>
      <w:r>
        <w:rPr>
          <w:rFonts w:cs="Times New Roman"/>
          <w:b w:val="false"/>
          <w:bCs w:val="false"/>
          <w:color w:val="000000"/>
          <w:sz w:val="22"/>
          <w:szCs w:val="22"/>
        </w:rPr>
        <w:t xml:space="preserve"> any of the prediction methods. The API can sldo be easily applied to single </w:t>
      </w:r>
      <w:r>
        <w:rPr>
          <w:rFonts w:eastAsia="Lohit Hindi" w:cs="Times New Roman"/>
          <w:b w:val="false"/>
          <w:bCs w:val="false"/>
          <w:color w:val="000000"/>
          <w:sz w:val="22"/>
          <w:szCs w:val="22"/>
          <w:lang w:val="en-GB" w:eastAsia="zh-CN" w:bidi="hi-IN"/>
        </w:rPr>
        <w:t>sequences or sm</w:t>
      </w:r>
      <w:r>
        <w:rPr>
          <w:rFonts w:cs="Times New Roman"/>
          <w:b w:val="false"/>
          <w:bCs w:val="false"/>
          <w:color w:val="000000"/>
          <w:sz w:val="22"/>
          <w:szCs w:val="22"/>
        </w:rPr>
        <w:t>all numbers of antigens. A web interface allows users to readily review results if they wish.</w:t>
      </w:r>
    </w:p>
    <w:p>
      <w:pPr>
        <w:pStyle w:val="Normal"/>
        <w:spacing w:lineRule="auto" w:line="360"/>
        <w:ind w:left="0" w:right="0" w:hanging="0"/>
        <w:jc w:val="both"/>
        <w:rPr>
          <w:rFonts w:ascii="Lato" w:hAnsi="Lato" w:cs="Times New Roman"/>
          <w:b w:val="false"/>
          <w:b w:val="false"/>
          <w:bCs w:val="false"/>
          <w:color w:val="000000"/>
          <w:sz w:val="22"/>
          <w:szCs w:val="22"/>
        </w:rPr>
      </w:pPr>
      <w:r>
        <w:rPr>
          <w:rFonts w:cs="Times New Roman"/>
          <w:b w:val="false"/>
          <w:bCs w:val="false"/>
          <w:color w:val="000000"/>
          <w:sz w:val="22"/>
          <w:szCs w:val="22"/>
        </w:rPr>
      </w:r>
    </w:p>
    <w:p>
      <w:pPr>
        <w:pStyle w:val="Heading1"/>
        <w:rPr>
          <w:rFonts w:ascii="Lato" w:hAnsi="Lato"/>
        </w:rPr>
      </w:pPr>
      <w:r>
        <w:rPr/>
        <w:t>Availability and requirements</w:t>
      </w:r>
    </w:p>
    <w:p>
      <w:pPr>
        <w:pStyle w:val="TextBody"/>
        <w:rPr>
          <w:rFonts w:ascii="Lato" w:hAnsi="Lato"/>
          <w:sz w:val="22"/>
          <w:szCs w:val="22"/>
        </w:rPr>
      </w:pPr>
      <w:bookmarkStart w:id="30" w:name="Par62"/>
      <w:bookmarkEnd w:id="30"/>
      <w:r>
        <w:rPr>
          <w:rFonts w:eastAsia="Calibri" w:cs="Times New Roman"/>
          <w:sz w:val="22"/>
          <w:szCs w:val="22"/>
        </w:rPr>
        <w:t>Project name: epitopepredict</w:t>
      </w:r>
    </w:p>
    <w:p>
      <w:pPr>
        <w:pStyle w:val="TextBody"/>
        <w:rPr/>
      </w:pPr>
      <w:bookmarkStart w:id="31" w:name="Par63"/>
      <w:bookmarkEnd w:id="31"/>
      <w:r>
        <w:rPr>
          <w:sz w:val="22"/>
          <w:szCs w:val="22"/>
        </w:rPr>
        <w:t xml:space="preserve">Project home page:  </w:t>
      </w:r>
      <w:hyperlink r:id="rId9">
        <w:r>
          <w:rPr>
            <w:rStyle w:val="InternetLink"/>
            <w:sz w:val="22"/>
            <w:szCs w:val="22"/>
          </w:rPr>
          <w:t>https://github.com/dmnfarrell/</w:t>
        </w:r>
      </w:hyperlink>
      <w:hyperlink r:id="rId10">
        <w:r>
          <w:rPr>
            <w:rStyle w:val="InternetLink"/>
            <w:sz w:val="22"/>
            <w:szCs w:val="22"/>
          </w:rPr>
          <w:t>epitopepredict</w:t>
        </w:r>
      </w:hyperlink>
    </w:p>
    <w:p>
      <w:pPr>
        <w:pStyle w:val="TextBody"/>
        <w:rPr>
          <w:rFonts w:ascii="Lato" w:hAnsi="Lato"/>
        </w:rPr>
      </w:pPr>
      <w:bookmarkStart w:id="32" w:name="Par64"/>
      <w:bookmarkEnd w:id="32"/>
      <w:r>
        <w:rPr>
          <w:b w:val="false"/>
          <w:i w:val="false"/>
          <w:caps w:val="false"/>
          <w:smallCaps w:val="false"/>
          <w:color w:val="000000"/>
          <w:spacing w:val="0"/>
          <w:sz w:val="22"/>
          <w:szCs w:val="22"/>
        </w:rPr>
        <w:t>Archived version: v0.</w:t>
      </w:r>
      <w:r>
        <w:rPr>
          <w:rFonts w:eastAsia="DejaVu Sans" w:cs="Lohit Hindi"/>
          <w:b w:val="false"/>
          <w:i w:val="false"/>
          <w:caps w:val="false"/>
          <w:smallCaps w:val="false"/>
          <w:color w:val="000000"/>
          <w:spacing w:val="0"/>
          <w:sz w:val="22"/>
          <w:szCs w:val="22"/>
          <w:lang w:val="en-GB" w:eastAsia="zh-CN" w:bidi="hi-IN"/>
        </w:rPr>
        <w:t>5</w:t>
      </w:r>
      <w:r>
        <w:rPr>
          <w:b w:val="false"/>
          <w:i w:val="false"/>
          <w:caps w:val="false"/>
          <w:smallCaps w:val="false"/>
          <w:color w:val="000000"/>
          <w:spacing w:val="0"/>
          <w:sz w:val="22"/>
          <w:szCs w:val="22"/>
        </w:rPr>
        <w:t>.0 (DOI: 10.5281/zenodo.4056421)</w:t>
      </w:r>
    </w:p>
    <w:p>
      <w:pPr>
        <w:pStyle w:val="TextBody"/>
        <w:rPr>
          <w:rFonts w:ascii="Lato" w:hAnsi="Lato"/>
          <w:sz w:val="22"/>
          <w:szCs w:val="22"/>
        </w:rPr>
      </w:pPr>
      <w:bookmarkStart w:id="33" w:name="Par65"/>
      <w:bookmarkEnd w:id="33"/>
      <w:r>
        <w:rPr>
          <w:sz w:val="22"/>
          <w:szCs w:val="22"/>
        </w:rPr>
        <w:t>Operating system(s): Linux, Unix</w:t>
      </w:r>
    </w:p>
    <w:p>
      <w:pPr>
        <w:pStyle w:val="TextBody"/>
        <w:rPr>
          <w:rFonts w:ascii="Lato" w:hAnsi="Lato"/>
          <w:sz w:val="22"/>
          <w:szCs w:val="22"/>
        </w:rPr>
      </w:pPr>
      <w:bookmarkStart w:id="34" w:name="Par66"/>
      <w:bookmarkEnd w:id="34"/>
      <w:r>
        <w:rPr>
          <w:sz w:val="22"/>
          <w:szCs w:val="22"/>
        </w:rPr>
        <w:t>Programming language: Python</w:t>
      </w:r>
    </w:p>
    <w:p>
      <w:pPr>
        <w:pStyle w:val="TextBody"/>
        <w:rPr>
          <w:rFonts w:ascii="Lato" w:hAnsi="Lato"/>
          <w:sz w:val="22"/>
          <w:szCs w:val="22"/>
        </w:rPr>
      </w:pPr>
      <w:bookmarkStart w:id="35" w:name="Par67"/>
      <w:bookmarkEnd w:id="35"/>
      <w:r>
        <w:rPr>
          <w:sz w:val="22"/>
          <w:szCs w:val="22"/>
        </w:rPr>
        <w:t>Other requirements: biopython, pandas, numpy, scikit-learn, bokeh, tornado</w:t>
      </w:r>
    </w:p>
    <w:p>
      <w:pPr>
        <w:pStyle w:val="TextBody"/>
        <w:rPr>
          <w:rFonts w:ascii="Lato" w:hAnsi="Lato"/>
          <w:sz w:val="22"/>
          <w:szCs w:val="22"/>
        </w:rPr>
      </w:pPr>
      <w:bookmarkStart w:id="36" w:name="Par68"/>
      <w:bookmarkEnd w:id="36"/>
      <w:r>
        <w:rPr>
          <w:sz w:val="22"/>
          <w:szCs w:val="22"/>
        </w:rPr>
        <w:t>License: Apache License version 2.0</w:t>
      </w:r>
    </w:p>
    <w:p>
      <w:pPr>
        <w:pStyle w:val="TextBody"/>
        <w:rPr>
          <w:rFonts w:ascii="Lato" w:hAnsi="Lato"/>
          <w:sz w:val="22"/>
          <w:szCs w:val="22"/>
        </w:rPr>
      </w:pPr>
      <w:bookmarkStart w:id="37" w:name="Par69"/>
      <w:bookmarkEnd w:id="37"/>
      <w:r>
        <w:rPr>
          <w:sz w:val="22"/>
          <w:szCs w:val="22"/>
        </w:rPr>
        <w:t>Any restrictions to use by non-academics: None</w:t>
      </w:r>
    </w:p>
    <w:p>
      <w:pPr>
        <w:pStyle w:val="Normal"/>
        <w:spacing w:lineRule="auto" w:line="276"/>
        <w:ind w:left="0" w:right="0" w:hanging="0"/>
        <w:jc w:val="both"/>
        <w:rPr>
          <w:rFonts w:ascii="Lato" w:hAnsi="Lato" w:cs="Times New Roman"/>
          <w:b/>
          <w:b/>
          <w:color w:val="000000"/>
          <w:sz w:val="22"/>
          <w:szCs w:val="22"/>
        </w:rPr>
      </w:pPr>
      <w:r>
        <w:rPr>
          <w:rFonts w:cs="Times New Roman"/>
          <w:b/>
          <w:color w:val="000000"/>
          <w:sz w:val="22"/>
          <w:szCs w:val="22"/>
        </w:rPr>
      </w:r>
    </w:p>
    <w:p>
      <w:pPr>
        <w:pStyle w:val="Heading1"/>
        <w:rPr/>
      </w:pPr>
      <w:r>
        <w:rPr/>
        <w:t>Funding</w:t>
      </w:r>
    </w:p>
    <w:p>
      <w:pPr>
        <w:pStyle w:val="Normal"/>
        <w:spacing w:lineRule="auto" w:line="360"/>
        <w:ind w:left="0" w:right="0" w:hanging="0"/>
        <w:jc w:val="both"/>
        <w:textAlignment w:val="baseline"/>
        <w:rPr>
          <w:rFonts w:ascii="Lato" w:hAnsi="Lato"/>
          <w:b w:val="false"/>
          <w:b w:val="false"/>
          <w:bCs w:val="false"/>
          <w:color w:val="000000"/>
          <w:sz w:val="22"/>
        </w:rPr>
      </w:pPr>
      <w:r>
        <w:rPr>
          <w:b w:val="false"/>
          <w:bCs w:val="false"/>
          <w:color w:val="000000"/>
          <w:sz w:val="22"/>
          <w:szCs w:val="22"/>
        </w:rPr>
        <w:t xml:space="preserve">This work was supported by the Irish Department of Agriculture Food and the Marine grant </w:t>
      </w:r>
      <w:r>
        <w:rPr>
          <w:b w:val="false"/>
          <w:bCs w:val="false"/>
          <w:i w:val="false"/>
          <w:caps w:val="false"/>
          <w:smallCaps w:val="false"/>
          <w:color w:val="000000"/>
          <w:spacing w:val="0"/>
          <w:sz w:val="22"/>
          <w:szCs w:val="22"/>
        </w:rPr>
        <w:t>15/S/651</w:t>
      </w:r>
      <w:r>
        <w:rPr>
          <w:b w:val="false"/>
          <w:bCs w:val="false"/>
          <w:color w:val="000000"/>
          <w:sz w:val="22"/>
          <w:szCs w:val="22"/>
        </w:rPr>
        <w:t xml:space="preserve"> (NEXUSMAP). DF was previously funded under an Irish Research Council Postdoctoral Fellowship (GOIPD/2015/475)</w:t>
      </w:r>
      <w:r>
        <w:rPr>
          <w:b w:val="false"/>
          <w:bCs w:val="false"/>
          <w:color w:val="000000"/>
          <w:sz w:val="22"/>
          <w:szCs w:val="22"/>
          <w:lang w:val="en-US"/>
        </w:rPr>
        <w:t xml:space="preserve"> for part of this work. The funders had no role in study design, data collection and analysis, decision to publish, or preparation of the manuscript. </w:t>
      </w:r>
    </w:p>
    <w:p>
      <w:pPr>
        <w:pStyle w:val="Normal"/>
        <w:spacing w:lineRule="auto" w:line="360"/>
        <w:ind w:left="0" w:right="0" w:hanging="0"/>
        <w:jc w:val="both"/>
        <w:textAlignment w:val="baseline"/>
        <w:rPr>
          <w:rFonts w:ascii="Lato" w:hAnsi="Lato"/>
          <w:b w:val="false"/>
          <w:b w:val="false"/>
          <w:bCs w:val="false"/>
          <w:color w:val="000000"/>
          <w:sz w:val="22"/>
          <w:szCs w:val="22"/>
          <w:lang w:val="en-US"/>
        </w:rPr>
      </w:pPr>
      <w:r>
        <w:rPr>
          <w:b w:val="false"/>
          <w:bCs w:val="false"/>
          <w:color w:val="000000"/>
          <w:sz w:val="22"/>
          <w:szCs w:val="22"/>
          <w:lang w:val="en-US"/>
        </w:rPr>
      </w:r>
    </w:p>
    <w:p>
      <w:pPr>
        <w:pStyle w:val="Heading1"/>
        <w:rPr/>
      </w:pPr>
      <w:r>
        <w:rPr/>
        <w:t>Acknowledgments</w:t>
      </w:r>
    </w:p>
    <w:p>
      <w:pPr>
        <w:pStyle w:val="Normal"/>
        <w:spacing w:lineRule="auto" w:line="360"/>
        <w:ind w:left="0" w:right="0" w:hanging="0"/>
        <w:jc w:val="both"/>
        <w:textAlignment w:val="baseline"/>
        <w:rPr>
          <w:rFonts w:ascii="Lato" w:hAnsi="Lato"/>
          <w:b w:val="false"/>
          <w:b w:val="false"/>
          <w:bCs w:val="false"/>
          <w:color w:val="000000"/>
          <w:sz w:val="22"/>
          <w:szCs w:val="22"/>
          <w:lang w:val="en-US"/>
        </w:rPr>
      </w:pPr>
      <w:r>
        <w:rPr>
          <w:b w:val="false"/>
          <w:bCs w:val="false"/>
          <w:color w:val="000000"/>
          <w:sz w:val="22"/>
          <w:szCs w:val="22"/>
          <w:lang w:val="en-US"/>
        </w:rPr>
        <w:t>Thanks to Dr. Joseph Crispell for useful discussions on machine learning. Also thanks to Prof. Stephen Gordon for support during the development of this software.</w:t>
      </w:r>
    </w:p>
    <w:p>
      <w:pPr>
        <w:pStyle w:val="Normal"/>
        <w:spacing w:lineRule="auto" w:line="360"/>
        <w:ind w:left="0" w:right="0" w:hanging="0"/>
        <w:jc w:val="both"/>
        <w:textAlignment w:val="baseline"/>
        <w:rPr>
          <w:rFonts w:ascii="Lato" w:hAnsi="Lato"/>
          <w:b w:val="false"/>
          <w:b w:val="false"/>
          <w:bCs w:val="false"/>
          <w:color w:val="000000"/>
          <w:sz w:val="22"/>
          <w:szCs w:val="22"/>
        </w:rPr>
      </w:pPr>
      <w:r>
        <w:rPr>
          <w:b w:val="false"/>
          <w:bCs w:val="false"/>
          <w:color w:val="000000"/>
          <w:sz w:val="22"/>
          <w:szCs w:val="22"/>
        </w:rPr>
      </w:r>
    </w:p>
    <w:p>
      <w:pPr>
        <w:pStyle w:val="Heading1"/>
        <w:rPr/>
      </w:pPr>
      <w:r>
        <w:rPr/>
        <w:t>Availability of data and materials</w:t>
      </w:r>
    </w:p>
    <w:p>
      <w:pPr>
        <w:pStyle w:val="Normal"/>
        <w:spacing w:lineRule="auto" w:line="360"/>
        <w:ind w:left="0" w:right="0" w:hanging="0"/>
        <w:jc w:val="both"/>
        <w:rPr>
          <w:b w:val="false"/>
          <w:b w:val="false"/>
          <w:bCs w:val="false"/>
        </w:rPr>
      </w:pPr>
      <w:r>
        <w:rPr>
          <w:rFonts w:eastAsia="Calibri" w:cs="Times New Roman"/>
          <w:color w:val="000000"/>
          <w:sz w:val="22"/>
          <w:szCs w:val="22"/>
        </w:rPr>
        <w:t xml:space="preserve">All computational work described here was implemented using Python. The code is provided as a Python package called </w:t>
      </w:r>
      <w:r>
        <w:rPr>
          <w:rFonts w:eastAsia="Calibri" w:cs="Times New Roman"/>
          <w:i/>
          <w:iCs/>
          <w:color w:val="000000"/>
          <w:sz w:val="22"/>
          <w:szCs w:val="22"/>
        </w:rPr>
        <w:t>epitopepredict</w:t>
      </w:r>
      <w:r>
        <w:rPr>
          <w:rFonts w:eastAsia="Calibri" w:cs="Times New Roman"/>
          <w:color w:val="000000"/>
          <w:sz w:val="22"/>
          <w:szCs w:val="22"/>
        </w:rPr>
        <w:t xml:space="preserve"> under the Apache license. Extensive use was made of the IPython (Jupyter) notebook environment </w:t>
      </w:r>
      <w:r>
        <w:rPr>
          <w:rFonts w:eastAsia="Calibri" w:cs="Times New Roman"/>
          <w:color w:val="000000"/>
          <w:position w:val="0"/>
          <w:sz w:val="22"/>
          <w:sz w:val="22"/>
          <w:szCs w:val="22"/>
          <w:vertAlign w:val="baseline"/>
        </w:rPr>
        <w:t>[30]</w:t>
      </w:r>
      <w:r>
        <w:rPr>
          <w:rFonts w:eastAsia="Calibri" w:cs="Times New Roman"/>
          <w:color w:val="000000"/>
          <w:sz w:val="22"/>
          <w:szCs w:val="22"/>
        </w:rPr>
        <w:t>⁠</w:t>
      </w:r>
      <w:r>
        <w:rPr>
          <w:color w:val="000000"/>
          <w:sz w:val="22"/>
          <w:szCs w:val="22"/>
        </w:rPr>
        <w:t xml:space="preserve"> </w:t>
      </w:r>
      <w:bookmarkStart w:id="38" w:name="__Fieldmark__3406_1541776324"/>
      <w:bookmarkStart w:id="39" w:name="__Fieldmark__1417_1061676112"/>
      <w:bookmarkEnd w:id="38"/>
      <w:bookmarkEnd w:id="39"/>
      <w:r>
        <w:rPr>
          <w:color w:val="000000"/>
          <w:sz w:val="22"/>
          <w:szCs w:val="22"/>
        </w:rPr>
        <w:t>in prototyping the codebase.</w:t>
      </w:r>
    </w:p>
    <w:p>
      <w:pPr>
        <w:pStyle w:val="Normal"/>
        <w:spacing w:lineRule="auto" w:line="360"/>
        <w:ind w:left="0" w:right="0" w:hanging="0"/>
        <w:jc w:val="both"/>
        <w:textAlignment w:val="baseline"/>
        <w:rPr/>
      </w:pPr>
      <w:bookmarkStart w:id="40" w:name="__Fieldmark__3434_1541776324"/>
      <w:bookmarkStart w:id="41" w:name="__Fieldmark__1436_1061676112"/>
      <w:bookmarkEnd w:id="40"/>
      <w:bookmarkEnd w:id="41"/>
      <w:r>
        <w:rPr>
          <w:rFonts w:cs="Times New Roman"/>
          <w:b w:val="false"/>
          <w:bCs w:val="false"/>
          <w:color w:val="000000"/>
          <w:sz w:val="22"/>
          <w:szCs w:val="22"/>
        </w:rPr>
        <w:t xml:space="preserve">Documentation for users is available at </w:t>
      </w:r>
      <w:hyperlink r:id="rId11">
        <w:r>
          <w:rPr>
            <w:rStyle w:val="InternetLink"/>
            <w:rFonts w:cs="Times New Roman"/>
            <w:b w:val="false"/>
            <w:bCs w:val="false"/>
            <w:color w:val="000000"/>
            <w:sz w:val="22"/>
            <w:szCs w:val="22"/>
          </w:rPr>
          <w:t>http://epitopepredict.readthedocs.io</w:t>
        </w:r>
      </w:hyperlink>
    </w:p>
    <w:p>
      <w:pPr>
        <w:pStyle w:val="Heading2"/>
        <w:rPr/>
      </w:pPr>
      <w:r>
        <w:rPr/>
        <w:t>Installation</w:t>
      </w:r>
    </w:p>
    <w:p>
      <w:pPr>
        <w:pStyle w:val="Normal"/>
        <w:spacing w:lineRule="auto" w:line="360"/>
        <w:ind w:left="0" w:right="0" w:hanging="0"/>
        <w:jc w:val="both"/>
        <w:textAlignment w:val="baseline"/>
        <w:rPr/>
      </w:pPr>
      <w:r>
        <w:rPr>
          <w:rFonts w:cs="Times New Roman"/>
          <w:b w:val="false"/>
          <w:bCs w:val="false"/>
          <w:i w:val="false"/>
          <w:caps w:val="false"/>
          <w:smallCaps w:val="false"/>
          <w:color w:val="000000"/>
          <w:spacing w:val="0"/>
          <w:sz w:val="22"/>
          <w:szCs w:val="22"/>
        </w:rPr>
        <w:t>This software should be run on a Linux operating system. Ubuntu is recommended but most major distributions will work well. Windows is not supported. If using Windows or macOS (OS X), users can simply install Linux using virtual machine software such as Oracle VM VirtualBox (</w:t>
      </w:r>
      <w:hyperlink r:id="rId12">
        <w:r>
          <w:rPr>
            <w:rStyle w:val="InternetLink"/>
            <w:rFonts w:cs="Times New Roman"/>
            <w:bCs/>
            <w:color w:val="000000"/>
            <w:sz w:val="22"/>
            <w:szCs w:val="22"/>
          </w:rPr>
          <w:t>https://www.virtualbox.org</w:t>
        </w:r>
      </w:hyperlink>
      <w:r>
        <w:rPr>
          <w:rFonts w:cs="Times New Roman"/>
          <w:b w:val="false"/>
          <w:bCs w:val="false"/>
          <w:i w:val="false"/>
          <w:caps w:val="false"/>
          <w:smallCaps w:val="false"/>
          <w:color w:val="000000"/>
          <w:spacing w:val="0"/>
          <w:sz w:val="22"/>
          <w:szCs w:val="22"/>
        </w:rPr>
        <w:t xml:space="preserve">). Software is then installed using the online documentation. The installation process is very simple, requiring only a single typed command. </w:t>
      </w:r>
      <w:r>
        <w:rPr>
          <w:rFonts w:eastAsia="Lohit Hindi" w:cs="Times New Roman"/>
          <w:b w:val="false"/>
          <w:bCs w:val="false"/>
          <w:i w:val="false"/>
          <w:caps w:val="false"/>
          <w:smallCaps w:val="false"/>
          <w:color w:val="000000"/>
          <w:spacing w:val="0"/>
          <w:sz w:val="22"/>
          <w:szCs w:val="22"/>
          <w:lang w:val="en-GB" w:eastAsia="zh-CN" w:bidi="hi-IN"/>
        </w:rPr>
        <w:t>Externally used</w:t>
      </w:r>
      <w:r>
        <w:rPr>
          <w:rFonts w:cs="Times New Roman"/>
          <w:b w:val="false"/>
          <w:bCs w:val="false"/>
          <w:i w:val="false"/>
          <w:caps w:val="false"/>
          <w:smallCaps w:val="false"/>
          <w:color w:val="000000"/>
          <w:spacing w:val="0"/>
          <w:sz w:val="22"/>
          <w:szCs w:val="22"/>
        </w:rPr>
        <w:t xml:space="preserve"> MHC binding prediction algorithms do need to be installed separately, these are all freely available.</w:t>
      </w:r>
    </w:p>
    <w:p>
      <w:pPr>
        <w:pStyle w:val="Normal"/>
        <w:spacing w:lineRule="auto" w:line="360"/>
        <w:ind w:left="0" w:right="0" w:hanging="0"/>
        <w:jc w:val="both"/>
        <w:textAlignment w:val="baseline"/>
        <w:rPr>
          <w:rFonts w:cs="Times New Roman"/>
          <w:b w:val="false"/>
          <w:b w:val="false"/>
          <w:bCs w:val="false"/>
          <w:i w:val="false"/>
          <w:i w:val="false"/>
          <w:caps w:val="false"/>
          <w:smallCaps w:val="false"/>
          <w:color w:val="000000"/>
          <w:spacing w:val="0"/>
          <w:sz w:val="22"/>
          <w:szCs w:val="22"/>
        </w:rPr>
      </w:pPr>
      <w:r>
        <w:rPr>
          <w:rFonts w:cs="Times New Roman"/>
          <w:b w:val="false"/>
          <w:bCs w:val="false"/>
          <w:i w:val="false"/>
          <w:caps w:val="false"/>
          <w:smallCaps w:val="false"/>
          <w:color w:val="000000"/>
          <w:spacing w:val="0"/>
          <w:sz w:val="22"/>
          <w:szCs w:val="22"/>
        </w:rPr>
      </w:r>
    </w:p>
    <w:p>
      <w:pPr>
        <w:pStyle w:val="Heading1"/>
        <w:rPr/>
      </w:pPr>
      <w:r>
        <w:rPr/>
        <w:t>References</w:t>
      </w:r>
    </w:p>
    <w:p>
      <w:pPr>
        <w:pStyle w:val="Normal"/>
        <w:spacing w:lineRule="auto" w:line="360"/>
        <w:ind w:left="0" w:right="0" w:hanging="0"/>
        <w:jc w:val="both"/>
        <w:textAlignment w:val="baseline"/>
        <w:rPr>
          <w:rFonts w:ascii="Lato" w:hAnsi="Lato"/>
          <w:b/>
          <w:b/>
          <w:bCs/>
          <w:color w:val="000000"/>
          <w:sz w:val="22"/>
          <w:szCs w:val="22"/>
        </w:rPr>
      </w:pPr>
      <w:r>
        <w:rPr>
          <w:b/>
          <w:bCs/>
          <w:color w:val="000000"/>
          <w:sz w:val="22"/>
          <w:szCs w:val="22"/>
        </w:rPr>
      </w:r>
    </w:p>
    <w:p>
      <w:pPr>
        <w:sectPr>
          <w:headerReference w:type="default" r:id="rId13"/>
          <w:footerReference w:type="default" r:id="rId14"/>
          <w:type w:val="nextPage"/>
          <w:pgSz w:w="11906" w:h="16838"/>
          <w:pgMar w:left="1134" w:right="1134" w:header="720" w:top="1134" w:footer="1134" w:bottom="1659" w:gutter="0"/>
          <w:pgNumType w:fmt="decimal"/>
          <w:formProt w:val="false"/>
          <w:textDirection w:val="lrTb"/>
          <w:docGrid w:type="default" w:linePitch="326" w:charSpace="4294965247"/>
        </w:sectPr>
      </w:pPr>
    </w:p>
    <w:p>
      <w:pPr>
        <w:pStyle w:val="Normal"/>
        <w:spacing w:lineRule="auto" w:line="288" w:before="0" w:after="140"/>
        <w:rPr>
          <w:rFonts w:ascii="Lato" w:hAnsi="Lato"/>
          <w:sz w:val="22"/>
        </w:rPr>
      </w:pPr>
      <w:r>
        <w:rPr>
          <w:sz w:val="22"/>
        </w:rPr>
        <w:t xml:space="preserve">1. Lundegaard C, Hoof I, Lund O, Nielsen M. State of the art and challenges in sequence based T-cell epitope prediction. </w:t>
      </w:r>
      <w:r>
        <w:rPr>
          <w:i/>
          <w:sz w:val="22"/>
        </w:rPr>
        <w:t>Immunome Res</w:t>
      </w:r>
      <w:r>
        <w:rPr>
          <w:sz w:val="22"/>
        </w:rPr>
        <w:t>. BioMed Central Ltd; 2010; doi: 10.1186/1745-7580-6-S2-S3.</w:t>
      </w:r>
    </w:p>
    <w:p>
      <w:pPr>
        <w:pStyle w:val="Normal"/>
        <w:spacing w:lineRule="auto" w:line="288" w:before="0" w:after="140"/>
        <w:rPr>
          <w:rFonts w:ascii="Lato" w:hAnsi="Lato"/>
          <w:sz w:val="22"/>
        </w:rPr>
      </w:pPr>
      <w:r>
        <w:rPr>
          <w:sz w:val="22"/>
        </w:rPr>
        <w:t xml:space="preserve">2. Backert L, Kohlbacher O. Immunoinformatics and epitope prediction in the age of genomic medicine. </w:t>
      </w:r>
      <w:r>
        <w:rPr>
          <w:i/>
          <w:sz w:val="22"/>
        </w:rPr>
        <w:t>Genome Med</w:t>
      </w:r>
      <w:r>
        <w:rPr>
          <w:sz w:val="22"/>
        </w:rPr>
        <w:t>. Genome Medicine; 2015; doi: 10.1186/s13073-015-0245-0.</w:t>
      </w:r>
    </w:p>
    <w:p>
      <w:pPr>
        <w:pStyle w:val="Normal"/>
        <w:spacing w:lineRule="auto" w:line="288" w:before="0" w:after="140"/>
        <w:rPr>
          <w:rFonts w:ascii="Lato" w:hAnsi="Lato"/>
          <w:sz w:val="22"/>
        </w:rPr>
      </w:pPr>
      <w:r>
        <w:rPr>
          <w:sz w:val="22"/>
        </w:rPr>
        <w:t xml:space="preserve">3. Domingos P. A few useful things to know about machine learning. </w:t>
      </w:r>
      <w:r>
        <w:rPr>
          <w:i/>
          <w:sz w:val="22"/>
        </w:rPr>
        <w:t>Commun ACM</w:t>
      </w:r>
      <w:r>
        <w:rPr>
          <w:sz w:val="22"/>
        </w:rPr>
        <w:t>. 2012; doi: 10.1145/2347736.2347755.</w:t>
      </w:r>
    </w:p>
    <w:p>
      <w:pPr>
        <w:pStyle w:val="Normal"/>
        <w:spacing w:lineRule="auto" w:line="288" w:before="0" w:after="140"/>
        <w:rPr>
          <w:rFonts w:ascii="Lato" w:hAnsi="Lato"/>
          <w:sz w:val="22"/>
        </w:rPr>
      </w:pPr>
      <w:r>
        <w:rPr>
          <w:sz w:val="22"/>
        </w:rPr>
        <w:t xml:space="preserve">4. Chaves F a, Lee AH, Nayak JL, Richards K a, Sant AJ. The utility and limitations of current Web-available algorithms to predict peptides recognized by CD4 T cells in response to pathogen infection. </w:t>
      </w:r>
      <w:r>
        <w:rPr>
          <w:i/>
          <w:sz w:val="22"/>
        </w:rPr>
        <w:t>J Immunol</w:t>
      </w:r>
      <w:r>
        <w:rPr>
          <w:sz w:val="22"/>
        </w:rPr>
        <w:t>. 2012; doi: 10.4049/jimmunol.1103640.</w:t>
      </w:r>
    </w:p>
    <w:p>
      <w:pPr>
        <w:pStyle w:val="Normal"/>
        <w:spacing w:lineRule="auto" w:line="288" w:before="0" w:after="140"/>
        <w:rPr>
          <w:rFonts w:ascii="Lato" w:hAnsi="Lato"/>
          <w:sz w:val="22"/>
        </w:rPr>
      </w:pPr>
      <w:r>
        <w:rPr>
          <w:sz w:val="22"/>
        </w:rPr>
        <w:t xml:space="preserve">5. Bremel RD, Homan EJ. An integrated approach to epitope analysis II: A system for proteomic-scale prediction of immunological characteristics. </w:t>
      </w:r>
      <w:r>
        <w:rPr>
          <w:i/>
          <w:sz w:val="22"/>
        </w:rPr>
        <w:t>Immunome Res</w:t>
      </w:r>
      <w:r>
        <w:rPr>
          <w:sz w:val="22"/>
        </w:rPr>
        <w:t>. BioMed Central Ltd; 2010; doi: 10.1186/1745-7580-6-8.</w:t>
      </w:r>
    </w:p>
    <w:p>
      <w:pPr>
        <w:pStyle w:val="Normal"/>
        <w:spacing w:lineRule="auto" w:line="288" w:before="0" w:after="140"/>
        <w:rPr>
          <w:rFonts w:ascii="Lato" w:hAnsi="Lato"/>
          <w:sz w:val="22"/>
        </w:rPr>
      </w:pPr>
      <w:r>
        <w:rPr>
          <w:sz w:val="22"/>
        </w:rPr>
        <w:t xml:space="preserve">6. Paul S, Weiskopf D, Angelo MA, Sidney J, Peters B, Sette A. HLA class I alleles are associated with peptide-binding repertoires of different size, affinity, and immunogenicity. </w:t>
      </w:r>
      <w:r>
        <w:rPr>
          <w:i/>
          <w:sz w:val="22"/>
        </w:rPr>
        <w:t>J Immunol</w:t>
      </w:r>
      <w:r>
        <w:rPr>
          <w:sz w:val="22"/>
        </w:rPr>
        <w:t>. 2013; doi: 10.4049/jimmunol.1302101.</w:t>
      </w:r>
    </w:p>
    <w:p>
      <w:pPr>
        <w:pStyle w:val="Normal"/>
        <w:spacing w:lineRule="auto" w:line="288" w:before="0" w:after="140"/>
        <w:rPr>
          <w:rFonts w:ascii="Lato" w:hAnsi="Lato"/>
          <w:sz w:val="22"/>
        </w:rPr>
      </w:pPr>
      <w:r>
        <w:rPr>
          <w:sz w:val="22"/>
        </w:rPr>
        <w:t xml:space="preserve">7. Schubert B, Lund O, Nielsen M. Evaluation of peptide selection approaches for epitope-based vaccine design. </w:t>
      </w:r>
      <w:r>
        <w:rPr>
          <w:i/>
          <w:sz w:val="22"/>
        </w:rPr>
        <w:t>Tissue Antigens</w:t>
      </w:r>
      <w:r>
        <w:rPr>
          <w:sz w:val="22"/>
        </w:rPr>
        <w:t>. 2013; doi: 10.1111/tan.12199.</w:t>
      </w:r>
    </w:p>
    <w:p>
      <w:pPr>
        <w:pStyle w:val="Normal"/>
        <w:spacing w:lineRule="auto" w:line="288" w:before="0" w:after="140"/>
        <w:rPr>
          <w:rFonts w:ascii="Lato" w:hAnsi="Lato"/>
          <w:sz w:val="22"/>
        </w:rPr>
      </w:pPr>
      <w:r>
        <w:rPr>
          <w:sz w:val="22"/>
        </w:rPr>
        <w:t xml:space="preserve">8. Soria-Guerra RE, Nieto-Gomez R, Govea-Alonso DO, Rosales-Mendoza S. An overview of bioinformatics tools for epitope prediction: Implications on vaccine development. </w:t>
      </w:r>
      <w:r>
        <w:rPr>
          <w:i/>
          <w:sz w:val="22"/>
        </w:rPr>
        <w:t>J Biomed Inform</w:t>
      </w:r>
      <w:r>
        <w:rPr>
          <w:sz w:val="22"/>
        </w:rPr>
        <w:t>. Elsevier Inc.; 2015; doi: 10.1016/j.jbi.2014.11.003.</w:t>
      </w:r>
    </w:p>
    <w:p>
      <w:pPr>
        <w:pStyle w:val="Normal"/>
        <w:spacing w:lineRule="auto" w:line="288" w:before="0" w:after="140"/>
        <w:rPr>
          <w:rFonts w:ascii="Lato" w:hAnsi="Lato"/>
          <w:sz w:val="22"/>
        </w:rPr>
      </w:pPr>
      <w:r>
        <w:rPr>
          <w:sz w:val="22"/>
        </w:rPr>
        <w:t xml:space="preserve">9. De Groot AS, Martin W. Reducing risk, improving outcomes: bioengineering less immunogenic protein therapeutics. </w:t>
      </w:r>
      <w:r>
        <w:rPr>
          <w:i/>
          <w:sz w:val="22"/>
        </w:rPr>
        <w:t>Clin Immunol</w:t>
      </w:r>
      <w:r>
        <w:rPr>
          <w:sz w:val="22"/>
        </w:rPr>
        <w:t>. Elsevier Inc.; 2009; doi: 10.1016/j.clim.2009.01.009.</w:t>
      </w:r>
    </w:p>
    <w:p>
      <w:pPr>
        <w:pStyle w:val="Normal"/>
        <w:spacing w:lineRule="auto" w:line="288" w:before="0" w:after="140"/>
        <w:rPr>
          <w:rFonts w:ascii="Lato" w:hAnsi="Lato"/>
          <w:sz w:val="22"/>
        </w:rPr>
      </w:pPr>
      <w:r>
        <w:rPr>
          <w:sz w:val="22"/>
        </w:rPr>
        <w:t xml:space="preserve">10. Mckinney W: Pandas, Python Data Analysis Library. http://pandas.pydata.org/ (2015). </w:t>
      </w:r>
    </w:p>
    <w:p>
      <w:pPr>
        <w:pStyle w:val="Normal"/>
        <w:spacing w:lineRule="auto" w:line="288" w:before="0" w:after="140"/>
        <w:rPr>
          <w:rFonts w:ascii="Lato" w:hAnsi="Lato"/>
          <w:sz w:val="22"/>
        </w:rPr>
      </w:pPr>
      <w:r>
        <w:rPr>
          <w:sz w:val="22"/>
        </w:rPr>
        <w:t xml:space="preserve">11. FriendFeed: Tornado: Python web framework and asynchronous networking library. https://www.tornadoweb.org/en/stable/ </w:t>
      </w:r>
    </w:p>
    <w:p>
      <w:pPr>
        <w:pStyle w:val="Normal"/>
        <w:spacing w:lineRule="auto" w:line="288" w:before="0" w:after="140"/>
        <w:rPr>
          <w:rFonts w:ascii="Lato" w:hAnsi="Lato"/>
          <w:sz w:val="22"/>
        </w:rPr>
      </w:pPr>
      <w:r>
        <w:rPr>
          <w:sz w:val="22"/>
        </w:rPr>
        <w:t xml:space="preserve">12. Bokeh Developers: Bokeh. https://bokeh.org/ (2020). </w:t>
      </w:r>
    </w:p>
    <w:p>
      <w:pPr>
        <w:pStyle w:val="Normal"/>
        <w:spacing w:lineRule="auto" w:line="288" w:before="0" w:after="140"/>
        <w:rPr>
          <w:rFonts w:ascii="Lato" w:hAnsi="Lato"/>
          <w:sz w:val="22"/>
        </w:rPr>
      </w:pPr>
      <w:r>
        <w:rPr>
          <w:sz w:val="22"/>
        </w:rPr>
        <w:t xml:space="preserve">13. Zhang L, Chen Y, Wong H-S, Zhou S, Mamitsuka H, Zhu S. TEPITOPEpan: extending TEPITOPE for peptide binding prediction covering over 700 HLA-DR molecules. </w:t>
      </w:r>
      <w:r>
        <w:rPr>
          <w:i/>
          <w:sz w:val="22"/>
        </w:rPr>
        <w:t>PLoS One</w:t>
      </w:r>
      <w:r>
        <w:rPr>
          <w:sz w:val="22"/>
        </w:rPr>
        <w:t>. 2012; doi: 10.1371/journal.pone.0030483.</w:t>
      </w:r>
    </w:p>
    <w:p>
      <w:pPr>
        <w:pStyle w:val="Normal"/>
        <w:spacing w:lineRule="auto" w:line="288" w:before="0" w:after="140"/>
        <w:rPr>
          <w:rFonts w:ascii="Lato" w:hAnsi="Lato"/>
          <w:sz w:val="22"/>
        </w:rPr>
      </w:pPr>
      <w:r>
        <w:rPr>
          <w:sz w:val="22"/>
        </w:rPr>
        <w:t xml:space="preserve">14. Sturniolo T, Bono E, Ding J, Raddrizzani L, Tuereci O, Sahin U, et al.. Generation of tissue-specific and promiscuous HLA ligand databases using DNA microarrays and virtual HLA class II matrices. </w:t>
      </w:r>
      <w:r>
        <w:rPr>
          <w:i/>
          <w:sz w:val="22"/>
        </w:rPr>
        <w:t>Nat Biotechnol</w:t>
      </w:r>
      <w:r>
        <w:rPr>
          <w:sz w:val="22"/>
        </w:rPr>
        <w:t>. 1999; doi: 10.1038/9858.</w:t>
      </w:r>
    </w:p>
    <w:p>
      <w:pPr>
        <w:pStyle w:val="Normal"/>
        <w:spacing w:lineRule="auto" w:line="288" w:before="0" w:after="140"/>
        <w:rPr>
          <w:rFonts w:ascii="Lato" w:hAnsi="Lato"/>
          <w:sz w:val="22"/>
        </w:rPr>
      </w:pPr>
      <w:r>
        <w:rPr>
          <w:sz w:val="22"/>
        </w:rPr>
        <w:t xml:space="preserve">15. Pedregosa F, Varoquaux G, Gramfort A, Michel V, Thirion B, Grisel O, et al.. Scikit-learn: Machine Learning in Python. </w:t>
      </w:r>
      <w:r>
        <w:rPr>
          <w:i/>
          <w:sz w:val="22"/>
        </w:rPr>
        <w:t>J Mach Learn Res</w:t>
      </w:r>
      <w:r>
        <w:rPr>
          <w:sz w:val="22"/>
        </w:rPr>
        <w:t xml:space="preserve">. JMLR.org; 12:2825–302011; </w:t>
      </w:r>
    </w:p>
    <w:p>
      <w:pPr>
        <w:pStyle w:val="Normal"/>
        <w:spacing w:lineRule="auto" w:line="288" w:before="0" w:after="140"/>
        <w:rPr>
          <w:rFonts w:ascii="Lato" w:hAnsi="Lato"/>
          <w:sz w:val="22"/>
        </w:rPr>
      </w:pPr>
      <w:r>
        <w:rPr>
          <w:sz w:val="22"/>
        </w:rPr>
        <w:t xml:space="preserve">16. O’Donnell TJ, Rubinsteyn A, Bonsack M, Riemer AB, Laserson U, Hammerbacher J. MHCflurry: Open-Source Class I MHC Binding Affinity Prediction. </w:t>
      </w:r>
      <w:r>
        <w:rPr>
          <w:i/>
          <w:sz w:val="22"/>
        </w:rPr>
        <w:t>Cell Syst</w:t>
      </w:r>
      <w:r>
        <w:rPr>
          <w:sz w:val="22"/>
        </w:rPr>
        <w:t>. Elsevier Inc.; 2018; doi: 10.1016/j.cels.2018.05.014.</w:t>
      </w:r>
    </w:p>
    <w:p>
      <w:pPr>
        <w:pStyle w:val="Normal"/>
        <w:spacing w:lineRule="auto" w:line="288" w:before="0" w:after="140"/>
        <w:rPr>
          <w:rFonts w:ascii="Lato" w:hAnsi="Lato"/>
          <w:sz w:val="22"/>
        </w:rPr>
      </w:pPr>
      <w:r>
        <w:rPr>
          <w:sz w:val="22"/>
        </w:rPr>
        <w:t xml:space="preserve">17. Jurtz V, Paul S, Andreatta M, Marcatili P, Peters B, Nielsen M. NetMHCpan-4.0: Improved Peptide–MHC Class I Interaction Predictions Integrating Eluted Ligand and Peptide Binding Affinity Data. </w:t>
      </w:r>
      <w:r>
        <w:rPr>
          <w:i/>
          <w:sz w:val="22"/>
        </w:rPr>
        <w:t>J Immunol</w:t>
      </w:r>
      <w:r>
        <w:rPr>
          <w:sz w:val="22"/>
        </w:rPr>
        <w:t>. 2017; doi: 10.4049/jimmunol.1700893.</w:t>
      </w:r>
    </w:p>
    <w:p>
      <w:pPr>
        <w:pStyle w:val="Normal"/>
        <w:spacing w:lineRule="auto" w:line="288" w:before="0" w:after="140"/>
        <w:rPr>
          <w:rFonts w:ascii="Lato" w:hAnsi="Lato"/>
          <w:sz w:val="22"/>
        </w:rPr>
      </w:pPr>
      <w:r>
        <w:rPr>
          <w:sz w:val="22"/>
        </w:rPr>
        <w:t xml:space="preserve">18. Nielsen M, Justesen S, Lund O, Lundegaard C, Buus S. NetMHCIIpan-2.0 - Improved pan-specific HLA-DR predictions using a novel concurrent alignment and weight optimization training procedure. </w:t>
      </w:r>
      <w:r>
        <w:rPr>
          <w:i/>
          <w:sz w:val="22"/>
        </w:rPr>
        <w:t>Immunome Res</w:t>
      </w:r>
      <w:r>
        <w:rPr>
          <w:sz w:val="22"/>
        </w:rPr>
        <w:t>. 2010; doi: 10.1186/1745-7580-6-9.</w:t>
      </w:r>
    </w:p>
    <w:p>
      <w:pPr>
        <w:pStyle w:val="Normal"/>
        <w:spacing w:lineRule="auto" w:line="288" w:before="0" w:after="140"/>
        <w:rPr>
          <w:rFonts w:ascii="Lato" w:hAnsi="Lato"/>
          <w:sz w:val="22"/>
        </w:rPr>
      </w:pPr>
      <w:r>
        <w:rPr>
          <w:sz w:val="22"/>
        </w:rPr>
        <w:t xml:space="preserve">19. Karosiene E, Rasmussen M, Blicher T, Lund O, Buus S, Nielsen M. NetMHCIIpan-3.0, a common pan-specific MHC class II prediction method including all three human MHC class II isotypes, HLA-DR, HLA-DP and HLA-DQ. </w:t>
      </w:r>
      <w:r>
        <w:rPr>
          <w:i/>
          <w:sz w:val="22"/>
        </w:rPr>
        <w:t>Immunogenetics</w:t>
      </w:r>
      <w:r>
        <w:rPr>
          <w:sz w:val="22"/>
        </w:rPr>
        <w:t>. 2013; doi: 10.1007/s00251-013-0720-y.</w:t>
      </w:r>
    </w:p>
    <w:p>
      <w:pPr>
        <w:pStyle w:val="Normal"/>
        <w:spacing w:lineRule="auto" w:line="288" w:before="0" w:after="140"/>
        <w:rPr>
          <w:rFonts w:ascii="Lato" w:hAnsi="Lato"/>
          <w:sz w:val="22"/>
        </w:rPr>
      </w:pPr>
      <w:r>
        <w:rPr>
          <w:sz w:val="22"/>
        </w:rPr>
        <w:t xml:space="preserve">20. Nanni L, Lumini A. A new encoding technique for peptide classification. </w:t>
      </w:r>
      <w:r>
        <w:rPr>
          <w:i/>
          <w:sz w:val="22"/>
        </w:rPr>
        <w:t>Expert Syst Appl</w:t>
      </w:r>
      <w:r>
        <w:rPr>
          <w:sz w:val="22"/>
        </w:rPr>
        <w:t>. Elsevier Ltd; 2011; doi: 10.1016/j.eswa.2010.09.005.</w:t>
      </w:r>
    </w:p>
    <w:p>
      <w:pPr>
        <w:pStyle w:val="Normal"/>
        <w:spacing w:lineRule="auto" w:line="288" w:before="0" w:after="140"/>
        <w:rPr>
          <w:rFonts w:ascii="Lato" w:hAnsi="Lato"/>
          <w:sz w:val="22"/>
        </w:rPr>
      </w:pPr>
      <w:r>
        <w:rPr>
          <w:sz w:val="22"/>
        </w:rPr>
        <w:t xml:space="preserve">21. Gök M, Özcerit AT. OETMAP: A new feature encoding scheme for MHC class i binding prediction. </w:t>
      </w:r>
      <w:r>
        <w:rPr>
          <w:i/>
          <w:sz w:val="22"/>
        </w:rPr>
        <w:t>Mol Cell Biochem</w:t>
      </w:r>
      <w:r>
        <w:rPr>
          <w:sz w:val="22"/>
        </w:rPr>
        <w:t>. 2012; doi: 10.1007/s11010-011-1000-5.</w:t>
      </w:r>
    </w:p>
    <w:p>
      <w:pPr>
        <w:pStyle w:val="Normal"/>
        <w:spacing w:lineRule="auto" w:line="288" w:before="0" w:after="140"/>
        <w:rPr>
          <w:rFonts w:ascii="Lato" w:hAnsi="Lato"/>
          <w:sz w:val="22"/>
        </w:rPr>
      </w:pPr>
      <w:r>
        <w:rPr>
          <w:sz w:val="22"/>
        </w:rPr>
        <w:t xml:space="preserve">22. Kim Y, Sidney J, Buus S, Sette A, Nielsen M, Peters B. Dataset size and composition impact the reliability of performance benchmarks for peptide-MHC binding predictions. </w:t>
      </w:r>
      <w:r>
        <w:rPr>
          <w:i/>
          <w:sz w:val="22"/>
        </w:rPr>
        <w:t>BMC Bioinformatics</w:t>
      </w:r>
      <w:r>
        <w:rPr>
          <w:sz w:val="22"/>
        </w:rPr>
        <w:t>. 2014; doi: 10.1186/1471-2105-15-241.</w:t>
      </w:r>
    </w:p>
    <w:p>
      <w:pPr>
        <w:pStyle w:val="Normal"/>
        <w:spacing w:lineRule="auto" w:line="288" w:before="0" w:after="140"/>
        <w:rPr>
          <w:rFonts w:ascii="Lato" w:hAnsi="Lato"/>
          <w:sz w:val="22"/>
        </w:rPr>
      </w:pPr>
      <w:r>
        <w:rPr>
          <w:sz w:val="22"/>
        </w:rPr>
        <w:t xml:space="preserve">23. Lindestam Arlehamn CS, McKinney DM, Carpenter C, Paul S, Rozot V, Makgotlho E, et al.. A Quantitative Analysis of Complexity of Human Pathogen-Specific CD4 T Cell Responses in Healthy M. tuberculosis Infected South Africans. </w:t>
      </w:r>
      <w:r>
        <w:rPr>
          <w:i/>
          <w:sz w:val="22"/>
        </w:rPr>
        <w:t>PLOS Pathog</w:t>
      </w:r>
      <w:r>
        <w:rPr>
          <w:sz w:val="22"/>
        </w:rPr>
        <w:t>. 2016; doi: 10.1371/journal.ppat.1005760.</w:t>
      </w:r>
    </w:p>
    <w:p>
      <w:pPr>
        <w:pStyle w:val="Normal"/>
        <w:spacing w:lineRule="auto" w:line="288" w:before="0" w:after="140"/>
        <w:rPr>
          <w:rFonts w:ascii="Lato" w:hAnsi="Lato"/>
          <w:sz w:val="22"/>
        </w:rPr>
      </w:pPr>
      <w:r>
        <w:rPr>
          <w:sz w:val="22"/>
        </w:rPr>
        <w:t xml:space="preserve">24. Farrell D, Jones G, Pirson C, Malone K, Rue-Albrecht K, Chubb AJ, et al.. Integrated computational prediction and experimental validation identifies promiscuous T cell epitopes in the proteome of Mycobacterium bovis. </w:t>
      </w:r>
      <w:r>
        <w:rPr>
          <w:i/>
          <w:sz w:val="22"/>
        </w:rPr>
        <w:t>Microb Genomics</w:t>
      </w:r>
      <w:r>
        <w:rPr>
          <w:sz w:val="22"/>
        </w:rPr>
        <w:t>. 2016; doi: 10.1099/mgen.0.000071.</w:t>
      </w:r>
    </w:p>
    <w:p>
      <w:pPr>
        <w:pStyle w:val="Normal"/>
        <w:spacing w:lineRule="auto" w:line="288" w:before="0" w:after="140"/>
        <w:rPr>
          <w:rFonts w:ascii="Lato" w:hAnsi="Lato"/>
          <w:sz w:val="22"/>
        </w:rPr>
      </w:pPr>
      <w:r>
        <w:rPr>
          <w:sz w:val="22"/>
        </w:rPr>
        <w:t xml:space="preserve">25. Santos AR, Pereira VB, Barbosa E, Baumbach J, Pauling J, Röttger R, et al.. Mature Epitope Density - A strategy for target selection based on immunoinformatics and exported prokaryotic proteins. </w:t>
      </w:r>
      <w:r>
        <w:rPr>
          <w:i/>
          <w:sz w:val="22"/>
        </w:rPr>
        <w:t>BMC Genomics</w:t>
      </w:r>
      <w:r>
        <w:rPr>
          <w:sz w:val="22"/>
        </w:rPr>
        <w:t>. BioMed Central Ltd; 2013; doi: 10.1186/1471-2164-14-S6-S4.</w:t>
      </w:r>
    </w:p>
    <w:p>
      <w:pPr>
        <w:pStyle w:val="Normal"/>
        <w:spacing w:lineRule="auto" w:line="288" w:before="0" w:after="140"/>
        <w:rPr>
          <w:rFonts w:ascii="Lato" w:hAnsi="Lato"/>
          <w:sz w:val="22"/>
        </w:rPr>
      </w:pPr>
      <w:r>
        <w:rPr>
          <w:sz w:val="22"/>
        </w:rPr>
        <w:t xml:space="preserve">26. Doshi P. Covid-19: Do many people have pre-existing immunity? </w:t>
      </w:r>
      <w:r>
        <w:rPr>
          <w:i/>
          <w:sz w:val="22"/>
        </w:rPr>
        <w:t>BMJ</w:t>
      </w:r>
      <w:r>
        <w:rPr>
          <w:sz w:val="22"/>
        </w:rPr>
        <w:t>. 2020; doi: 10.1136/bmj.m3563.</w:t>
      </w:r>
    </w:p>
    <w:p>
      <w:pPr>
        <w:pStyle w:val="Normal"/>
        <w:spacing w:lineRule="auto" w:line="288" w:before="0" w:after="140"/>
        <w:rPr>
          <w:rFonts w:ascii="Lato" w:hAnsi="Lato"/>
          <w:sz w:val="22"/>
        </w:rPr>
      </w:pPr>
      <w:r>
        <w:rPr>
          <w:sz w:val="22"/>
        </w:rPr>
        <w:t xml:space="preserve">27. Grifoni A, Weiskopf D, Ramirez SI, Mateus J, Dan JM, Rydyznski Moderbacher C, et al.. Targets of T cell responses to SARS-CoV-2 coronavirus in humans with COVID-19 disease and unexposed individuals. </w:t>
      </w:r>
      <w:r>
        <w:rPr>
          <w:i/>
          <w:sz w:val="22"/>
        </w:rPr>
        <w:t>Cell</w:t>
      </w:r>
      <w:r>
        <w:rPr>
          <w:sz w:val="22"/>
        </w:rPr>
        <w:t>. Elsevier Inc.; 2020; doi: 10.1016/j.cell.2020.05.015.</w:t>
      </w:r>
    </w:p>
    <w:p>
      <w:pPr>
        <w:pStyle w:val="Normal"/>
        <w:spacing w:lineRule="auto" w:line="288" w:before="0" w:after="140"/>
        <w:rPr>
          <w:rFonts w:ascii="Lato" w:hAnsi="Lato"/>
          <w:sz w:val="22"/>
        </w:rPr>
      </w:pPr>
      <w:r>
        <w:rPr>
          <w:sz w:val="22"/>
        </w:rPr>
        <w:t xml:space="preserve">28. Mateus J, Grifoni A, Tarke A, Sidney J, Ramirez SI, Dan JM, et al.. Selective and cross-reactive SARS-CoV-2 T cell epitopes in unexposed humans. </w:t>
      </w:r>
      <w:r>
        <w:rPr>
          <w:i/>
          <w:sz w:val="22"/>
        </w:rPr>
        <w:t>Science (80- )</w:t>
      </w:r>
      <w:r>
        <w:rPr>
          <w:sz w:val="22"/>
        </w:rPr>
        <w:t>. 2020; doi: 10.1126/science.abd3871.</w:t>
      </w:r>
    </w:p>
    <w:p>
      <w:pPr>
        <w:pStyle w:val="Normal"/>
        <w:spacing w:lineRule="auto" w:line="288" w:before="0" w:after="140"/>
        <w:rPr>
          <w:rFonts w:ascii="Lato" w:hAnsi="Lato"/>
          <w:sz w:val="22"/>
        </w:rPr>
      </w:pPr>
      <w:r>
        <w:rPr>
          <w:sz w:val="22"/>
        </w:rPr>
        <w:t xml:space="preserve">29. Farrell D, Gordon S V.. Epitopemap: A web application for integrated whole proteome epitope prediction. </w:t>
      </w:r>
      <w:r>
        <w:rPr>
          <w:i/>
          <w:sz w:val="22"/>
        </w:rPr>
        <w:t>BMC Bioinformatics</w:t>
      </w:r>
      <w:r>
        <w:rPr>
          <w:sz w:val="22"/>
        </w:rPr>
        <w:t>. 2015; doi: 10.1186/s12859-015-0659-0.</w:t>
      </w:r>
    </w:p>
    <w:p>
      <w:pPr>
        <w:pStyle w:val="Normal"/>
        <w:rPr/>
      </w:pPr>
      <w:r>
        <w:rPr>
          <w:sz w:val="22"/>
        </w:rPr>
        <w:t xml:space="preserve">30. Project Jupyter: Jupyter Notebook. http://jupyter.org/ (2015). Accessed 2016 Jan 21. </w:t>
      </w:r>
    </w:p>
    <w:p>
      <w:pPr>
        <w:sectPr>
          <w:type w:val="continuous"/>
          <w:pgSz w:w="11906" w:h="16838"/>
          <w:pgMar w:left="1134" w:right="1134" w:header="720" w:top="1134" w:footer="1134" w:bottom="1659" w:gutter="0"/>
          <w:formProt w:val="false"/>
          <w:textDirection w:val="lrTb"/>
          <w:docGrid w:type="default" w:linePitch="326" w:charSpace="4294965247"/>
        </w:sectPr>
      </w:pPr>
    </w:p>
    <w:sectPr>
      <w:type w:val="continuous"/>
      <w:pgSz w:w="11906" w:h="16838"/>
      <w:pgMar w:left="1134" w:right="1134" w:header="720" w:top="1134" w:footer="1134" w:bottom="1659" w:gutter="0"/>
      <w:pgNumType w:fmt="decimal"/>
      <w:formProt w:val="false"/>
      <w:textDirection w:val="lrTb"/>
      <w:docGrid w:type="default" w:linePitch="326" w:charSpace="4294965247"/>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Times New Roman">
    <w:charset w:val="01"/>
    <w:family w:val="roman"/>
    <w:pitch w:val="variable"/>
  </w:font>
  <w:font w:name="Lato">
    <w:charset w:val="01"/>
    <w:family w:val="roman"/>
    <w:pitch w:val="variable"/>
  </w:font>
  <w:font w:name="Lato">
    <w:charset w:val="01"/>
    <w:family w:val="swiss"/>
    <w:pitch w:val="variable"/>
  </w:font>
  <w:font w:name="Times New Roman">
    <w:charset w:val="01"/>
    <w:family w:val="swiss"/>
    <w:pitch w:val="variable"/>
  </w:font>
  <w:font w:name="OpenSymbol">
    <w:altName w:val="Arial Unicode MS"/>
    <w:charset w:val="01"/>
    <w:family w:val="roman"/>
    <w:pitch w:val="variable"/>
  </w:font>
  <w:font w:name="Tahoma">
    <w:charset w:val="01"/>
    <w:family w:val="roman"/>
    <w:pitch w:val="variable"/>
  </w:font>
  <w:font w:name="Liberation Mono">
    <w:altName w:val="Courier New"/>
    <w:charset w:val="01"/>
    <w:family w:val="roman"/>
    <w:pitch w:val="variable"/>
  </w:font>
  <w:font w:name="Arial">
    <w:charset w:val="01"/>
    <w:family w:val="roman"/>
    <w:pitch w:val="variable"/>
  </w:font>
  <w:font w:name="DejaVu Sans">
    <w:charset w:val="01"/>
    <w:family w:val="roman"/>
    <w:pitch w:val="variable"/>
  </w:font>
  <w:font w:name="FreeSans">
    <w:charset w:val="01"/>
    <w:family w:val="roman"/>
    <w:pitch w:val="variable"/>
  </w:font>
  <w:font w:name="Courier">
    <w:altName w:val="Courier New"/>
    <w:charset w:val="01"/>
    <w:family w:val="roman"/>
    <w:pitch w:val="variable"/>
  </w:font>
  <w:font w:name="Symbol">
    <w:charset w:val="02"/>
    <w:family w:val="auto"/>
    <w:pitch w:val="default"/>
  </w:font>
  <w:font w:name="OpenSymbol">
    <w:altName w:val="Arial Unicode MS"/>
    <w:charset w:val="01"/>
    <w:family w:val="auto"/>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Footer"/>
      <w:jc w:val="center"/>
      <w:rPr/>
    </w:pPr>
    <w:r>
      <w:rPr/>
      <w:fldChar w:fldCharType="begin"/>
    </w:r>
    <w:r>
      <w:instrText> PAGE </w:instrText>
    </w:r>
    <w:r>
      <w:fldChar w:fldCharType="separate"/>
    </w:r>
    <w:r>
      <w:t>16</w:t>
    </w:r>
    <w:r>
      <w:fldChar w:fldCharType="end"/>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Header"/>
      <w:rPr/>
    </w:pPr>
    <w:r>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pStyle w:val="Heading4"/>
      <w:numFmt w:val="none"/>
      <w:suff w:val="nothing"/>
      <w:lvlText w:val=""/>
      <w:lvlJc w:val="left"/>
      <w:pPr>
        <w:ind w:left="864" w:hanging="864"/>
      </w:pPr>
    </w:lvl>
    <w:lvl w:ilvl="4">
      <w:start w:val="1"/>
      <w:pStyle w:val="Heading5"/>
      <w:numFmt w:val="none"/>
      <w:suff w:val="nothing"/>
      <w:lvlText w:val=""/>
      <w:lvlJc w:val="left"/>
      <w:pPr>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2">
    <w:lvl w:ilvl="0">
      <w:start w:val="1"/>
      <w:numFmt w:val="none"/>
      <w:suff w:val="nothing"/>
      <w:lvlText w:val=""/>
      <w:lvlJc w:val="left"/>
      <w:pPr>
        <w:ind w:left="432" w:hanging="432"/>
      </w:pPr>
    </w:lvl>
    <w:lvl w:ilvl="1">
      <w:start w:val="1"/>
      <w:numFmt w:val="none"/>
      <w:suff w:val="nothing"/>
      <w:lvlText w:val=""/>
      <w:lvlJc w:val="left"/>
      <w:pPr>
        <w:ind w:left="576" w:hanging="576"/>
      </w:pPr>
    </w:lvl>
    <w:lvl w:ilvl="2">
      <w:start w:val="1"/>
      <w:numFmt w:val="none"/>
      <w:suff w:val="nothing"/>
      <w:lvlText w:val=""/>
      <w:lvlJc w:val="left"/>
      <w:pPr>
        <w:ind w:left="720" w:hanging="720"/>
      </w:pPr>
    </w:lvl>
    <w:lvl w:ilvl="3">
      <w:start w:val="1"/>
      <w:numFmt w:val="none"/>
      <w:suff w:val="nothing"/>
      <w:lvlText w:val=""/>
      <w:lvlJc w:val="left"/>
      <w:pPr>
        <w:ind w:left="864" w:hanging="864"/>
      </w:pPr>
    </w:lvl>
    <w:lvl w:ilvl="4">
      <w:start w:val="1"/>
      <w:numFmt w:val="none"/>
      <w:suff w:val="nothing"/>
      <w:lvlText w:val=""/>
      <w:lvlJc w:val="left"/>
      <w:pPr>
        <w:ind w:left="1008" w:hanging="1008"/>
      </w:pPr>
    </w:lvl>
    <w:lvl w:ilvl="5">
      <w:start w:val="1"/>
      <w:numFmt w:val="none"/>
      <w:suff w:val="nothing"/>
      <w:lvlText w:val=""/>
      <w:lvlJc w:val="left"/>
      <w:pPr>
        <w:ind w:left="1152" w:hanging="1152"/>
      </w:pPr>
    </w:lvl>
    <w:lvl w:ilvl="6">
      <w:start w:val="1"/>
      <w:numFmt w:val="none"/>
      <w:suff w:val="nothing"/>
      <w:lvlText w:val=""/>
      <w:lvlJc w:val="left"/>
      <w:pPr>
        <w:ind w:left="1296" w:hanging="1296"/>
      </w:pPr>
    </w:lvl>
    <w:lvl w:ilvl="7">
      <w:start w:val="1"/>
      <w:numFmt w:val="none"/>
      <w:suff w:val="nothing"/>
      <w:lvlText w:val=""/>
      <w:lvlJc w:val="left"/>
      <w:pPr>
        <w:ind w:left="1440" w:hanging="1440"/>
      </w:pPr>
    </w:lvl>
    <w:lvl w:ilvl="8">
      <w:start w:val="1"/>
      <w:numFmt w:val="none"/>
      <w:suff w:val="nothing"/>
      <w:lvlText w:val=""/>
      <w:lvlJc w:val="left"/>
      <w:pPr>
        <w:ind w:left="1584" w:hanging="1584"/>
      </w:pPr>
    </w:lvl>
  </w:abstractNum>
  <w:abstractNum w:abstractNumId="3">
    <w:lvl w:ilvl="0">
      <w:start w:val="1"/>
      <w:numFmt w:val="bullet"/>
      <w:lvlText w:val=""/>
      <w:lvlJc w:val="left"/>
      <w:pPr>
        <w:tabs>
          <w:tab w:val="num" w:pos="720"/>
        </w:tabs>
        <w:ind w:left="720" w:hanging="360"/>
      </w:pPr>
      <w:rPr>
        <w:rFonts w:ascii="Symbol" w:hAnsi="Symbol" w:cs="Symbol" w:hint="default"/>
        <w:sz w:val="22"/>
        <w:rFonts w:cs="OpenSymbol"/>
      </w:rPr>
    </w:lvl>
    <w:lvl w:ilvl="1">
      <w:start w:val="1"/>
      <w:numFmt w:val="bullet"/>
      <w:lvlText w:val="◦"/>
      <w:lvlJc w:val="left"/>
      <w:pPr>
        <w:tabs>
          <w:tab w:val="num" w:pos="1080"/>
        </w:tabs>
        <w:ind w:left="1080" w:hanging="360"/>
      </w:pPr>
      <w:rPr>
        <w:rFonts w:ascii="OpenSymbol" w:hAnsi="OpenSymbol" w:cs="OpenSymbol" w:hint="default"/>
        <w:rFonts w:cs="OpenSymbol"/>
      </w:rPr>
    </w:lvl>
    <w:lvl w:ilvl="2">
      <w:start w:val="1"/>
      <w:numFmt w:val="bullet"/>
      <w:lvlText w:val="▪"/>
      <w:lvlJc w:val="left"/>
      <w:pPr>
        <w:tabs>
          <w:tab w:val="num" w:pos="1440"/>
        </w:tabs>
        <w:ind w:left="1440" w:hanging="360"/>
      </w:pPr>
      <w:rPr>
        <w:rFonts w:ascii="OpenSymbol" w:hAnsi="OpenSymbol" w:cs="OpenSymbol" w:hint="default"/>
        <w:rFonts w:cs="OpenSymbol"/>
      </w:rPr>
    </w:lvl>
    <w:lvl w:ilvl="3">
      <w:start w:val="1"/>
      <w:numFmt w:val="bullet"/>
      <w:lvlText w:val=""/>
      <w:lvlJc w:val="left"/>
      <w:pPr>
        <w:tabs>
          <w:tab w:val="num" w:pos="1800"/>
        </w:tabs>
        <w:ind w:left="1800" w:hanging="360"/>
      </w:pPr>
      <w:rPr>
        <w:rFonts w:ascii="Symbol" w:hAnsi="Symbol" w:cs="Symbol" w:hint="default"/>
        <w:rFonts w:cs="OpenSymbol"/>
      </w:rPr>
    </w:lvl>
    <w:lvl w:ilvl="4">
      <w:start w:val="1"/>
      <w:numFmt w:val="bullet"/>
      <w:lvlText w:val="◦"/>
      <w:lvlJc w:val="left"/>
      <w:pPr>
        <w:tabs>
          <w:tab w:val="num" w:pos="2160"/>
        </w:tabs>
        <w:ind w:left="2160" w:hanging="360"/>
      </w:pPr>
      <w:rPr>
        <w:rFonts w:ascii="OpenSymbol" w:hAnsi="OpenSymbol" w:cs="OpenSymbol" w:hint="default"/>
        <w:rFonts w:cs="OpenSymbol"/>
      </w:rPr>
    </w:lvl>
    <w:lvl w:ilvl="5">
      <w:start w:val="1"/>
      <w:numFmt w:val="bullet"/>
      <w:lvlText w:val="▪"/>
      <w:lvlJc w:val="left"/>
      <w:pPr>
        <w:tabs>
          <w:tab w:val="num" w:pos="2520"/>
        </w:tabs>
        <w:ind w:left="2520" w:hanging="360"/>
      </w:pPr>
      <w:rPr>
        <w:rFonts w:ascii="OpenSymbol" w:hAnsi="OpenSymbol" w:cs="OpenSymbol" w:hint="default"/>
        <w:rFonts w:cs="OpenSymbol"/>
      </w:rPr>
    </w:lvl>
    <w:lvl w:ilvl="6">
      <w:start w:val="1"/>
      <w:numFmt w:val="bullet"/>
      <w:lvlText w:val=""/>
      <w:lvlJc w:val="left"/>
      <w:pPr>
        <w:tabs>
          <w:tab w:val="num" w:pos="2880"/>
        </w:tabs>
        <w:ind w:left="2880" w:hanging="360"/>
      </w:pPr>
      <w:rPr>
        <w:rFonts w:ascii="Symbol" w:hAnsi="Symbol" w:cs="Symbol" w:hint="default"/>
        <w:rFonts w:cs="OpenSymbol"/>
      </w:rPr>
    </w:lvl>
    <w:lvl w:ilvl="7">
      <w:start w:val="1"/>
      <w:numFmt w:val="bullet"/>
      <w:lvlText w:val="◦"/>
      <w:lvlJc w:val="left"/>
      <w:pPr>
        <w:tabs>
          <w:tab w:val="num" w:pos="3240"/>
        </w:tabs>
        <w:ind w:left="3240" w:hanging="360"/>
      </w:pPr>
      <w:rPr>
        <w:rFonts w:ascii="OpenSymbol" w:hAnsi="OpenSymbol" w:cs="OpenSymbol" w:hint="default"/>
        <w:rFonts w:cs="OpenSymbol"/>
      </w:rPr>
    </w:lvl>
    <w:lvl w:ilvl="8">
      <w:start w:val="1"/>
      <w:numFmt w:val="bullet"/>
      <w:lvlText w:val="▪"/>
      <w:lvlJc w:val="left"/>
      <w:pPr>
        <w:tabs>
          <w:tab w:val="num" w:pos="3600"/>
        </w:tabs>
        <w:ind w:left="3600" w:hanging="360"/>
      </w:pPr>
      <w:rPr>
        <w:rFonts w:ascii="OpenSymbol" w:hAnsi="OpenSymbol" w:cs="OpenSymbol" w:hint="default"/>
        <w:rFonts w:cs="OpenSymbol"/>
      </w:rPr>
    </w:lvl>
  </w:abstractNum>
  <w:abstractNum w:abstractNumId="4">
    <w:lvl w:ilvl="0">
      <w:start w:val="1"/>
      <w:numFmt w:val="bullet"/>
      <w:suff w:val="nothing"/>
      <w:lvlText w:val=""/>
      <w:lvlJc w:val="left"/>
      <w:pPr>
        <w:ind w:left="148" w:hanging="0"/>
      </w:pPr>
      <w:rPr>
        <w:rFonts w:ascii="Symbol" w:hAnsi="Symbol" w:cs="Symbol" w:hint="default"/>
        <w:sz w:val="22"/>
        <w:rFonts w:cs="OpenSymbol"/>
      </w:rPr>
    </w:lvl>
    <w:lvl w:ilvl="1">
      <w:start w:val="1"/>
      <w:numFmt w:val="bullet"/>
      <w:lvlText w:val=""/>
      <w:lvlJc w:val="left"/>
      <w:pPr>
        <w:tabs>
          <w:tab w:val="num" w:pos="1414"/>
        </w:tabs>
        <w:ind w:left="1414" w:hanging="283"/>
      </w:pPr>
      <w:rPr>
        <w:rFonts w:ascii="Symbol" w:hAnsi="Symbol" w:cs="Symbol" w:hint="default"/>
        <w:rFonts w:cs="OpenSymbol"/>
      </w:rPr>
    </w:lvl>
    <w:lvl w:ilvl="2">
      <w:start w:val="1"/>
      <w:numFmt w:val="bullet"/>
      <w:lvlText w:val=""/>
      <w:lvlJc w:val="left"/>
      <w:pPr>
        <w:tabs>
          <w:tab w:val="num" w:pos="2121"/>
        </w:tabs>
        <w:ind w:left="2121" w:hanging="283"/>
      </w:pPr>
      <w:rPr>
        <w:rFonts w:ascii="Symbol" w:hAnsi="Symbol" w:cs="Symbol" w:hint="default"/>
        <w:rFonts w:cs="OpenSymbol"/>
      </w:rPr>
    </w:lvl>
    <w:lvl w:ilvl="3">
      <w:start w:val="1"/>
      <w:numFmt w:val="bullet"/>
      <w:lvlText w:val=""/>
      <w:lvlJc w:val="left"/>
      <w:pPr>
        <w:tabs>
          <w:tab w:val="num" w:pos="2828"/>
        </w:tabs>
        <w:ind w:left="2828" w:hanging="283"/>
      </w:pPr>
      <w:rPr>
        <w:rFonts w:ascii="Symbol" w:hAnsi="Symbol" w:cs="Symbol" w:hint="default"/>
        <w:rFonts w:cs="OpenSymbol"/>
      </w:rPr>
    </w:lvl>
    <w:lvl w:ilvl="4">
      <w:start w:val="1"/>
      <w:numFmt w:val="bullet"/>
      <w:lvlText w:val=""/>
      <w:lvlJc w:val="left"/>
      <w:pPr>
        <w:tabs>
          <w:tab w:val="num" w:pos="3535"/>
        </w:tabs>
        <w:ind w:left="3535" w:hanging="283"/>
      </w:pPr>
      <w:rPr>
        <w:rFonts w:ascii="Symbol" w:hAnsi="Symbol" w:cs="Symbol" w:hint="default"/>
        <w:rFonts w:cs="OpenSymbol"/>
      </w:rPr>
    </w:lvl>
    <w:lvl w:ilvl="5">
      <w:start w:val="1"/>
      <w:numFmt w:val="bullet"/>
      <w:lvlText w:val=""/>
      <w:lvlJc w:val="left"/>
      <w:pPr>
        <w:tabs>
          <w:tab w:val="num" w:pos="4242"/>
        </w:tabs>
        <w:ind w:left="4242" w:hanging="283"/>
      </w:pPr>
      <w:rPr>
        <w:rFonts w:ascii="Symbol" w:hAnsi="Symbol" w:cs="Symbol" w:hint="default"/>
        <w:rFonts w:cs="OpenSymbol"/>
      </w:rPr>
    </w:lvl>
    <w:lvl w:ilvl="6">
      <w:start w:val="1"/>
      <w:numFmt w:val="bullet"/>
      <w:lvlText w:val=""/>
      <w:lvlJc w:val="left"/>
      <w:pPr>
        <w:tabs>
          <w:tab w:val="num" w:pos="4949"/>
        </w:tabs>
        <w:ind w:left="4949" w:hanging="283"/>
      </w:pPr>
      <w:rPr>
        <w:rFonts w:ascii="Symbol" w:hAnsi="Symbol" w:cs="Symbol" w:hint="default"/>
        <w:rFonts w:cs="OpenSymbol"/>
      </w:rPr>
    </w:lvl>
    <w:lvl w:ilvl="7">
      <w:start w:val="1"/>
      <w:numFmt w:val="bullet"/>
      <w:lvlText w:val=""/>
      <w:lvlJc w:val="left"/>
      <w:pPr>
        <w:tabs>
          <w:tab w:val="num" w:pos="5656"/>
        </w:tabs>
        <w:ind w:left="5656" w:hanging="283"/>
      </w:pPr>
      <w:rPr>
        <w:rFonts w:ascii="Symbol" w:hAnsi="Symbol" w:cs="Symbol" w:hint="default"/>
        <w:rFonts w:cs="OpenSymbol"/>
      </w:rPr>
    </w:lvl>
    <w:lvl w:ilvl="8">
      <w:start w:val="1"/>
      <w:numFmt w:val="bullet"/>
      <w:lvlText w:val=""/>
      <w:lvlJc w:val="left"/>
      <w:pPr>
        <w:tabs>
          <w:tab w:val="num" w:pos="6363"/>
        </w:tabs>
        <w:ind w:left="6363" w:hanging="283"/>
      </w:pPr>
      <w:rPr>
        <w:rFonts w:ascii="Symbol" w:hAnsi="Symbol" w:cs="Symbol" w:hint="default"/>
        <w:rFonts w:cs="OpenSymbol"/>
      </w:rPr>
    </w:lvl>
  </w:abstractNum>
  <w:num w:numId="1">
    <w:abstractNumId w:val="1"/>
  </w:num>
  <w:num w:numId="2">
    <w:abstractNumId w:val="2"/>
  </w:num>
  <w:num w:numId="3">
    <w:abstractNumId w:val="3"/>
  </w:num>
  <w:num w:numId="4">
    <w:abstractNumId w:val="4"/>
  </w:num>
</w:numbering>
</file>

<file path=word/settings.xml><?xml version="1.0" encoding="utf-8"?>
<w:settings xmlns:w="http://schemas.openxmlformats.org/wordprocessingml/2006/main">
  <w:zoom w:percent="95"/>
  <w:displayBackgroundShape/>
  <w:embedSystemFonts/>
  <w:defaultTabStop w:val="720"/>
  <w:autoHyphenation w:val="false"/>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sz w:val="24"/>
        <w:lang w:val="en-IE" w:eastAsia="en-US" w:bidi="ar-SA"/>
      </w:rPr>
    </w:rPrDefault>
    <w:pPrDefault>
      <w:pPr/>
    </w:pPrDefault>
  </w:docDefaults>
  <w:style w:type="paragraph" w:styleId="Normal">
    <w:name w:val="Normal"/>
    <w:qFormat/>
    <w:pPr>
      <w:widowControl w:val="false"/>
      <w:suppressAutoHyphens w:val="true"/>
      <w:overflowPunct w:val="false"/>
      <w:bidi w:val="0"/>
      <w:spacing w:lineRule="auto" w:line="360"/>
      <w:jc w:val="left"/>
    </w:pPr>
    <w:rPr>
      <w:rFonts w:ascii="Lato" w:hAnsi="Lato" w:eastAsia="DejaVu Sans" w:cs="Lohit Hindi"/>
      <w:color w:val="00000A"/>
      <w:sz w:val="22"/>
      <w:szCs w:val="22"/>
      <w:lang w:val="en-GB" w:eastAsia="zh-CN" w:bidi="hi-IN"/>
    </w:rPr>
  </w:style>
  <w:style w:type="paragraph" w:styleId="Heading1">
    <w:name w:val="Heading 1"/>
    <w:basedOn w:val="Heading"/>
    <w:qFormat/>
    <w:pPr>
      <w:outlineLvl w:val="0"/>
    </w:pPr>
    <w:rPr>
      <w:rFonts w:ascii="Lato" w:hAnsi="Lato"/>
      <w:b/>
      <w:bCs/>
      <w:sz w:val="36"/>
      <w:szCs w:val="36"/>
    </w:rPr>
  </w:style>
  <w:style w:type="paragraph" w:styleId="Heading2">
    <w:name w:val="Heading 2"/>
    <w:basedOn w:val="Heading"/>
    <w:qFormat/>
    <w:pPr>
      <w:outlineLvl w:val="1"/>
    </w:pPr>
    <w:rPr>
      <w:rFonts w:ascii="Lato" w:hAnsi="Lato"/>
      <w:b/>
      <w:bCs/>
      <w:i w:val="false"/>
      <w:iCs w:val="false"/>
    </w:rPr>
  </w:style>
  <w:style w:type="paragraph" w:styleId="Heading3">
    <w:name w:val="Heading 3"/>
    <w:basedOn w:val="Heading"/>
    <w:qFormat/>
    <w:pPr>
      <w:outlineLvl w:val="2"/>
    </w:pPr>
    <w:rPr>
      <w:rFonts w:ascii="Times New Roman" w:hAnsi="Times New Roman"/>
      <w:b/>
      <w:bCs/>
    </w:rPr>
  </w:style>
  <w:style w:type="paragraph" w:styleId="Heading4">
    <w:name w:val="Heading 4"/>
    <w:basedOn w:val="Heading"/>
    <w:qFormat/>
    <w:pPr>
      <w:numPr>
        <w:ilvl w:val="3"/>
        <w:numId w:val="1"/>
      </w:numPr>
      <w:spacing w:before="120" w:after="120"/>
      <w:ind w:left="0" w:hanging="0"/>
      <w:outlineLvl w:val="3"/>
      <w:outlineLvl w:val="3"/>
    </w:pPr>
    <w:rPr>
      <w:b/>
      <w:bCs/>
      <w:i w:val="false"/>
      <w:iCs w:val="false"/>
      <w:sz w:val="27"/>
      <w:szCs w:val="27"/>
    </w:rPr>
  </w:style>
  <w:style w:type="paragraph" w:styleId="Heading5">
    <w:name w:val="Heading 5"/>
    <w:basedOn w:val="Heading"/>
    <w:qFormat/>
    <w:pPr>
      <w:numPr>
        <w:ilvl w:val="4"/>
        <w:numId w:val="1"/>
      </w:numPr>
      <w:spacing w:before="120" w:after="60"/>
      <w:ind w:left="0" w:hanging="0"/>
      <w:outlineLvl w:val="4"/>
      <w:outlineLvl w:val="4"/>
    </w:pPr>
    <w:rPr>
      <w:b/>
      <w:bCs/>
      <w:sz w:val="24"/>
      <w:szCs w:val="24"/>
    </w:rPr>
  </w:style>
  <w:style w:type="character" w:styleId="DefaultParagraphFont">
    <w:name w:val="Default Paragraph Font"/>
    <w:qFormat/>
    <w:rPr/>
  </w:style>
  <w:style w:type="character" w:styleId="InternetLink">
    <w:name w:val="Internet Link"/>
    <w:rPr>
      <w:color w:val="000080"/>
      <w:u w:val="single"/>
    </w:rPr>
  </w:style>
  <w:style w:type="character" w:styleId="Bullets">
    <w:name w:val="Bullets"/>
    <w:qFormat/>
    <w:rPr>
      <w:rFonts w:ascii="OpenSymbol" w:hAnsi="OpenSymbol" w:eastAsia="OpenSymbol" w:cs="OpenSymbol"/>
    </w:rPr>
  </w:style>
  <w:style w:type="character" w:styleId="FollowedHyperlink">
    <w:name w:val="FollowedHyperlink"/>
    <w:qFormat/>
    <w:rPr>
      <w:color w:val="800000"/>
      <w:u w:val="single"/>
    </w:rPr>
  </w:style>
  <w:style w:type="character" w:styleId="Emphasis">
    <w:name w:val="Emphasis"/>
    <w:qFormat/>
    <w:rPr>
      <w:i/>
      <w:iCs/>
    </w:rPr>
  </w:style>
  <w:style w:type="character" w:styleId="NumberingSymbols">
    <w:name w:val="Numbering Symbols"/>
    <w:qFormat/>
    <w:rPr/>
  </w:style>
  <w:style w:type="character" w:styleId="Linenumber">
    <w:name w:val="line number"/>
    <w:qFormat/>
    <w:rPr/>
  </w:style>
  <w:style w:type="character" w:styleId="EndnoteTextChar">
    <w:name w:val="Endnote Text Char"/>
    <w:qFormat/>
    <w:rPr>
      <w:rFonts w:eastAsia="DejaVu Sans" w:cs="Mangal"/>
      <w:szCs w:val="18"/>
      <w:lang w:val="en-GB" w:eastAsia="zh-CN" w:bidi="hi-IN"/>
    </w:rPr>
  </w:style>
  <w:style w:type="character" w:styleId="Endnotereference">
    <w:name w:val="endnote reference"/>
    <w:qFormat/>
    <w:rPr>
      <w:vertAlign w:val="superscript"/>
    </w:rPr>
  </w:style>
  <w:style w:type="character" w:styleId="BalloonTextChar">
    <w:name w:val="Balloon Text Char"/>
    <w:qFormat/>
    <w:rPr>
      <w:rFonts w:ascii="Tahoma" w:hAnsi="Tahoma" w:eastAsia="DejaVu Sans" w:cs="Mangal"/>
      <w:sz w:val="16"/>
      <w:szCs w:val="14"/>
      <w:lang w:eastAsia="zh-CN" w:bidi="hi-IN"/>
    </w:rPr>
  </w:style>
  <w:style w:type="character" w:styleId="Annotationreference">
    <w:name w:val="annotation reference"/>
    <w:qFormat/>
    <w:rPr>
      <w:sz w:val="16"/>
      <w:szCs w:val="16"/>
    </w:rPr>
  </w:style>
  <w:style w:type="character" w:styleId="CommentTextChar">
    <w:name w:val="Comment Text Char"/>
    <w:qFormat/>
    <w:rPr>
      <w:rFonts w:eastAsia="DejaVu Sans" w:cs="Mangal"/>
      <w:szCs w:val="18"/>
      <w:lang w:eastAsia="zh-CN" w:bidi="hi-IN"/>
    </w:rPr>
  </w:style>
  <w:style w:type="character" w:styleId="CommentSubjectChar">
    <w:name w:val="Comment Subject Char"/>
    <w:qFormat/>
    <w:rPr>
      <w:rFonts w:eastAsia="DejaVu Sans" w:cs="Mangal"/>
      <w:b/>
      <w:bCs/>
      <w:szCs w:val="18"/>
      <w:lang w:eastAsia="zh-CN" w:bidi="hi-IN"/>
    </w:rPr>
  </w:style>
  <w:style w:type="character" w:styleId="HeaderChar">
    <w:name w:val="Header Char"/>
    <w:basedOn w:val="DefaultParagraphFont"/>
    <w:qFormat/>
    <w:rPr>
      <w:rFonts w:eastAsia="DejaVu Sans" w:cs="Lohit Hindi"/>
      <w:sz w:val="24"/>
      <w:szCs w:val="24"/>
      <w:lang w:val="en-GB" w:eastAsia="zh-CN" w:bidi="hi-IN"/>
    </w:rPr>
  </w:style>
  <w:style w:type="character" w:styleId="ListLabel1">
    <w:name w:val="ListLabel 1"/>
    <w:qFormat/>
    <w:rPr>
      <w:rFonts w:ascii="Times New Roman" w:hAnsi="Times New Roman" w:cs="OpenSymbol"/>
      <w:sz w:val="24"/>
    </w:rPr>
  </w:style>
  <w:style w:type="character" w:styleId="ListLabel2">
    <w:name w:val="ListLabel 2"/>
    <w:qFormat/>
    <w:rPr>
      <w:i w:val="false"/>
    </w:rPr>
  </w:style>
  <w:style w:type="character" w:styleId="ListLabel3">
    <w:name w:val="ListLabel 3"/>
    <w:qFormat/>
    <w:rPr>
      <w:rFonts w:cs="Courier New"/>
    </w:rPr>
  </w:style>
  <w:style w:type="character" w:styleId="ListLabel4">
    <w:name w:val="ListLabel 4"/>
    <w:qFormat/>
    <w:rPr>
      <w:rFonts w:ascii="Times New Roman" w:hAnsi="Times New Roman" w:cs="OpenSymbol"/>
      <w:sz w:val="24"/>
    </w:rPr>
  </w:style>
  <w:style w:type="character" w:styleId="ListLabel5">
    <w:name w:val="ListLabel 5"/>
    <w:qFormat/>
    <w:rPr>
      <w:rFonts w:ascii="Times New Roman" w:hAnsi="Times New Roman" w:cs="OpenSymbol"/>
      <w:sz w:val="24"/>
    </w:rPr>
  </w:style>
  <w:style w:type="character" w:styleId="ListLabel6">
    <w:name w:val="ListLabel 6"/>
    <w:qFormat/>
    <w:rPr>
      <w:rFonts w:ascii="Times New Roman" w:hAnsi="Times New Roman" w:cs="OpenSymbol"/>
      <w:sz w:val="24"/>
    </w:rPr>
  </w:style>
  <w:style w:type="character" w:styleId="ListLabel7">
    <w:name w:val="ListLabel 7"/>
    <w:qFormat/>
    <w:rPr>
      <w:rFonts w:cs="OpenSymbol"/>
      <w:sz w:val="24"/>
    </w:rPr>
  </w:style>
  <w:style w:type="character" w:styleId="ListLabel8">
    <w:name w:val="ListLabel 8"/>
    <w:qFormat/>
    <w:rPr>
      <w:rFonts w:cs="OpenSymbol"/>
      <w:sz w:val="24"/>
    </w:rPr>
  </w:style>
  <w:style w:type="character" w:styleId="ListLabel9">
    <w:name w:val="ListLabel 9"/>
    <w:qFormat/>
    <w:rPr>
      <w:rFonts w:cs="OpenSymbol"/>
      <w:sz w:val="24"/>
    </w:rPr>
  </w:style>
  <w:style w:type="character" w:styleId="ListLabel10">
    <w:name w:val="ListLabel 10"/>
    <w:qFormat/>
    <w:rPr>
      <w:rFonts w:cs="OpenSymbol"/>
      <w:sz w:val="24"/>
    </w:rPr>
  </w:style>
  <w:style w:type="character" w:styleId="ListLabel11">
    <w:name w:val="ListLabel 11"/>
    <w:qFormat/>
    <w:rPr>
      <w:rFonts w:cs="OpenSymbol"/>
      <w:sz w:val="24"/>
    </w:rPr>
  </w:style>
  <w:style w:type="character" w:styleId="ListLabel12">
    <w:name w:val="ListLabel 12"/>
    <w:qFormat/>
    <w:rPr>
      <w:rFonts w:cs="OpenSymbol"/>
      <w:sz w:val="24"/>
    </w:rPr>
  </w:style>
  <w:style w:type="character" w:styleId="ListLabel13">
    <w:name w:val="ListLabel 13"/>
    <w:qFormat/>
    <w:rPr>
      <w:rFonts w:cs="OpenSymbol"/>
      <w:sz w:val="24"/>
    </w:rPr>
  </w:style>
  <w:style w:type="character" w:styleId="ListLabel14">
    <w:name w:val="ListLabel 14"/>
    <w:qFormat/>
    <w:rPr>
      <w:rFonts w:cs="OpenSymbol"/>
      <w:sz w:val="24"/>
    </w:rPr>
  </w:style>
  <w:style w:type="character" w:styleId="ListLabel15">
    <w:name w:val="ListLabel 15"/>
    <w:qFormat/>
    <w:rPr>
      <w:rFonts w:ascii="Times New Roman" w:hAnsi="Times New Roman" w:cs="OpenSymbol"/>
      <w:sz w:val="24"/>
    </w:rPr>
  </w:style>
  <w:style w:type="character" w:styleId="ListLabel16">
    <w:name w:val="ListLabel 16"/>
    <w:qFormat/>
    <w:rPr>
      <w:rFonts w:cs="OpenSymbol"/>
      <w:sz w:val="24"/>
    </w:rPr>
  </w:style>
  <w:style w:type="character" w:styleId="ListLabel17">
    <w:name w:val="ListLabel 17"/>
    <w:qFormat/>
    <w:rPr>
      <w:rFonts w:cs="OpenSymbol"/>
      <w:sz w:val="24"/>
    </w:rPr>
  </w:style>
  <w:style w:type="character" w:styleId="ListLabel18">
    <w:name w:val="ListLabel 18"/>
    <w:qFormat/>
    <w:rPr>
      <w:rFonts w:cs="OpenSymbol"/>
      <w:sz w:val="24"/>
    </w:rPr>
  </w:style>
  <w:style w:type="character" w:styleId="ListLabel19">
    <w:name w:val="ListLabel 19"/>
    <w:qFormat/>
    <w:rPr>
      <w:rFonts w:cs="OpenSymbol"/>
      <w:sz w:val="24"/>
    </w:rPr>
  </w:style>
  <w:style w:type="character" w:styleId="ListLabel20">
    <w:name w:val="ListLabel 20"/>
    <w:qFormat/>
    <w:rPr>
      <w:rFonts w:cs="OpenSymbol"/>
      <w:sz w:val="24"/>
    </w:rPr>
  </w:style>
  <w:style w:type="character" w:styleId="ListLabel21">
    <w:name w:val="ListLabel 21"/>
    <w:qFormat/>
    <w:rPr>
      <w:rFonts w:cs="OpenSymbol"/>
      <w:sz w:val="24"/>
    </w:rPr>
  </w:style>
  <w:style w:type="character" w:styleId="ListLabel22">
    <w:name w:val="ListLabel 22"/>
    <w:qFormat/>
    <w:rPr>
      <w:rFonts w:cs="OpenSymbol"/>
      <w:sz w:val="24"/>
    </w:rPr>
  </w:style>
  <w:style w:type="character" w:styleId="ListLabel23">
    <w:name w:val="ListLabel 23"/>
    <w:qFormat/>
    <w:rPr>
      <w:rFonts w:cs="OpenSymbol"/>
      <w:sz w:val="24"/>
    </w:rPr>
  </w:style>
  <w:style w:type="character" w:styleId="Quotation">
    <w:name w:val="Quotation"/>
    <w:qFormat/>
    <w:rPr>
      <w:i/>
      <w:iCs/>
    </w:rPr>
  </w:style>
  <w:style w:type="character" w:styleId="StrongEmphasis">
    <w:name w:val="Strong Emphasis"/>
    <w:qFormat/>
    <w:rPr>
      <w:b/>
      <w:bCs/>
    </w:rPr>
  </w:style>
  <w:style w:type="character" w:styleId="VisitedInternetLink">
    <w:name w:val="Visited Internet Link"/>
    <w:rPr>
      <w:color w:val="800000"/>
      <w:u w:val="single"/>
      <w:lang w:val="zxx" w:eastAsia="zxx" w:bidi="zxx"/>
    </w:rPr>
  </w:style>
  <w:style w:type="character" w:styleId="SourceText">
    <w:name w:val="Source Text"/>
    <w:qFormat/>
    <w:rPr>
      <w:rFonts w:ascii="Liberation Mono" w:hAnsi="Liberation Mono" w:eastAsia="Liberation Mono" w:cs="Liberation Mono"/>
    </w:rPr>
  </w:style>
  <w:style w:type="character" w:styleId="ListLabel24">
    <w:name w:val="ListLabel 24"/>
    <w:qFormat/>
    <w:rPr>
      <w:rFonts w:ascii="Lato" w:hAnsi="Lato" w:cs="OpenSymbol"/>
      <w:sz w:val="22"/>
    </w:rPr>
  </w:style>
  <w:style w:type="character" w:styleId="ListLabel25">
    <w:name w:val="ListLabel 25"/>
    <w:qFormat/>
    <w:rPr>
      <w:rFonts w:cs="OpenSymbol"/>
    </w:rPr>
  </w:style>
  <w:style w:type="character" w:styleId="ListLabel26">
    <w:name w:val="ListLabel 26"/>
    <w:qFormat/>
    <w:rPr>
      <w:rFonts w:cs="OpenSymbol"/>
    </w:rPr>
  </w:style>
  <w:style w:type="character" w:styleId="ListLabel27">
    <w:name w:val="ListLabel 27"/>
    <w:qFormat/>
    <w:rPr>
      <w:rFonts w:cs="OpenSymbol"/>
    </w:rPr>
  </w:style>
  <w:style w:type="character" w:styleId="ListLabel28">
    <w:name w:val="ListLabel 28"/>
    <w:qFormat/>
    <w:rPr>
      <w:rFonts w:cs="OpenSymbol"/>
    </w:rPr>
  </w:style>
  <w:style w:type="character" w:styleId="ListLabel29">
    <w:name w:val="ListLabel 29"/>
    <w:qFormat/>
    <w:rPr>
      <w:rFonts w:cs="OpenSymbol"/>
    </w:rPr>
  </w:style>
  <w:style w:type="character" w:styleId="ListLabel30">
    <w:name w:val="ListLabel 30"/>
    <w:qFormat/>
    <w:rPr>
      <w:rFonts w:cs="OpenSymbol"/>
    </w:rPr>
  </w:style>
  <w:style w:type="character" w:styleId="ListLabel31">
    <w:name w:val="ListLabel 31"/>
    <w:qFormat/>
    <w:rPr>
      <w:rFonts w:cs="OpenSymbol"/>
    </w:rPr>
  </w:style>
  <w:style w:type="character" w:styleId="ListLabel32">
    <w:name w:val="ListLabel 32"/>
    <w:qFormat/>
    <w:rPr>
      <w:rFonts w:cs="OpenSymbol"/>
    </w:rPr>
  </w:style>
  <w:style w:type="character" w:styleId="ListLabel33">
    <w:name w:val="ListLabel 33"/>
    <w:qFormat/>
    <w:rPr>
      <w:rFonts w:ascii="Lato" w:hAnsi="Lato" w:cs="OpenSymbol"/>
      <w:sz w:val="22"/>
    </w:rPr>
  </w:style>
  <w:style w:type="character" w:styleId="ListLabel34">
    <w:name w:val="ListLabel 34"/>
    <w:qFormat/>
    <w:rPr>
      <w:rFonts w:cs="OpenSymbol"/>
    </w:rPr>
  </w:style>
  <w:style w:type="character" w:styleId="ListLabel35">
    <w:name w:val="ListLabel 35"/>
    <w:qFormat/>
    <w:rPr>
      <w:rFonts w:cs="OpenSymbol"/>
    </w:rPr>
  </w:style>
  <w:style w:type="character" w:styleId="ListLabel36">
    <w:name w:val="ListLabel 36"/>
    <w:qFormat/>
    <w:rPr>
      <w:rFonts w:cs="OpenSymbol"/>
    </w:rPr>
  </w:style>
  <w:style w:type="character" w:styleId="ListLabel37">
    <w:name w:val="ListLabel 37"/>
    <w:qFormat/>
    <w:rPr>
      <w:rFonts w:cs="OpenSymbol"/>
    </w:rPr>
  </w:style>
  <w:style w:type="character" w:styleId="ListLabel38">
    <w:name w:val="ListLabel 38"/>
    <w:qFormat/>
    <w:rPr>
      <w:rFonts w:cs="OpenSymbol"/>
    </w:rPr>
  </w:style>
  <w:style w:type="character" w:styleId="ListLabel39">
    <w:name w:val="ListLabel 39"/>
    <w:qFormat/>
    <w:rPr>
      <w:rFonts w:cs="OpenSymbol"/>
    </w:rPr>
  </w:style>
  <w:style w:type="character" w:styleId="ListLabel40">
    <w:name w:val="ListLabel 40"/>
    <w:qFormat/>
    <w:rPr>
      <w:rFonts w:cs="OpenSymbol"/>
    </w:rPr>
  </w:style>
  <w:style w:type="character" w:styleId="ListLabel41">
    <w:name w:val="ListLabel 41"/>
    <w:qFormat/>
    <w:rPr>
      <w:rFonts w:cs="OpenSymbol"/>
    </w:rPr>
  </w:style>
  <w:style w:type="character" w:styleId="ListLabel42">
    <w:name w:val="ListLabel 42"/>
    <w:qFormat/>
    <w:rPr>
      <w:rFonts w:ascii="Lato" w:hAnsi="Lato" w:cs="OpenSymbol"/>
      <w:sz w:val="22"/>
    </w:rPr>
  </w:style>
  <w:style w:type="character" w:styleId="ListLabel43">
    <w:name w:val="ListLabel 43"/>
    <w:qFormat/>
    <w:rPr>
      <w:rFonts w:cs="OpenSymbol"/>
    </w:rPr>
  </w:style>
  <w:style w:type="character" w:styleId="ListLabel44">
    <w:name w:val="ListLabel 44"/>
    <w:qFormat/>
    <w:rPr>
      <w:rFonts w:cs="OpenSymbol"/>
    </w:rPr>
  </w:style>
  <w:style w:type="character" w:styleId="ListLabel45">
    <w:name w:val="ListLabel 45"/>
    <w:qFormat/>
    <w:rPr>
      <w:rFonts w:cs="OpenSymbol"/>
    </w:rPr>
  </w:style>
  <w:style w:type="character" w:styleId="ListLabel46">
    <w:name w:val="ListLabel 46"/>
    <w:qFormat/>
    <w:rPr>
      <w:rFonts w:cs="OpenSymbol"/>
    </w:rPr>
  </w:style>
  <w:style w:type="character" w:styleId="ListLabel47">
    <w:name w:val="ListLabel 47"/>
    <w:qFormat/>
    <w:rPr>
      <w:rFonts w:cs="OpenSymbol"/>
    </w:rPr>
  </w:style>
  <w:style w:type="character" w:styleId="ListLabel48">
    <w:name w:val="ListLabel 48"/>
    <w:qFormat/>
    <w:rPr>
      <w:rFonts w:cs="OpenSymbol"/>
    </w:rPr>
  </w:style>
  <w:style w:type="character" w:styleId="ListLabel49">
    <w:name w:val="ListLabel 49"/>
    <w:qFormat/>
    <w:rPr>
      <w:rFonts w:cs="OpenSymbol"/>
    </w:rPr>
  </w:style>
  <w:style w:type="character" w:styleId="ListLabel50">
    <w:name w:val="ListLabel 50"/>
    <w:qFormat/>
    <w:rPr>
      <w:rFonts w:cs="OpenSymbol"/>
    </w:rPr>
  </w:style>
  <w:style w:type="character" w:styleId="ListLabel51">
    <w:name w:val="ListLabel 51"/>
    <w:qFormat/>
    <w:rPr>
      <w:rFonts w:ascii="Lato" w:hAnsi="Lato" w:cs="OpenSymbol"/>
      <w:sz w:val="22"/>
    </w:rPr>
  </w:style>
  <w:style w:type="character" w:styleId="ListLabel52">
    <w:name w:val="ListLabel 52"/>
    <w:qFormat/>
    <w:rPr>
      <w:rFonts w:cs="OpenSymbol"/>
    </w:rPr>
  </w:style>
  <w:style w:type="character" w:styleId="ListLabel53">
    <w:name w:val="ListLabel 53"/>
    <w:qFormat/>
    <w:rPr>
      <w:rFonts w:cs="OpenSymbol"/>
    </w:rPr>
  </w:style>
  <w:style w:type="character" w:styleId="ListLabel54">
    <w:name w:val="ListLabel 54"/>
    <w:qFormat/>
    <w:rPr>
      <w:rFonts w:cs="OpenSymbol"/>
    </w:rPr>
  </w:style>
  <w:style w:type="character" w:styleId="ListLabel55">
    <w:name w:val="ListLabel 55"/>
    <w:qFormat/>
    <w:rPr>
      <w:rFonts w:cs="OpenSymbol"/>
    </w:rPr>
  </w:style>
  <w:style w:type="character" w:styleId="ListLabel56">
    <w:name w:val="ListLabel 56"/>
    <w:qFormat/>
    <w:rPr>
      <w:rFonts w:cs="OpenSymbol"/>
    </w:rPr>
  </w:style>
  <w:style w:type="character" w:styleId="ListLabel57">
    <w:name w:val="ListLabel 57"/>
    <w:qFormat/>
    <w:rPr>
      <w:rFonts w:cs="OpenSymbol"/>
    </w:rPr>
  </w:style>
  <w:style w:type="character" w:styleId="ListLabel58">
    <w:name w:val="ListLabel 58"/>
    <w:qFormat/>
    <w:rPr>
      <w:rFonts w:cs="OpenSymbol"/>
    </w:rPr>
  </w:style>
  <w:style w:type="character" w:styleId="ListLabel59">
    <w:name w:val="ListLabel 59"/>
    <w:qFormat/>
    <w:rPr>
      <w:rFonts w:cs="OpenSymbol"/>
    </w:rPr>
  </w:style>
  <w:style w:type="character" w:styleId="ListLabel60">
    <w:name w:val="ListLabel 60"/>
    <w:qFormat/>
    <w:rPr>
      <w:rFonts w:ascii="Lato" w:hAnsi="Lato" w:cs="OpenSymbol"/>
      <w:sz w:val="22"/>
    </w:rPr>
  </w:style>
  <w:style w:type="character" w:styleId="ListLabel61">
    <w:name w:val="ListLabel 61"/>
    <w:qFormat/>
    <w:rPr>
      <w:rFonts w:cs="OpenSymbol"/>
    </w:rPr>
  </w:style>
  <w:style w:type="character" w:styleId="ListLabel62">
    <w:name w:val="ListLabel 62"/>
    <w:qFormat/>
    <w:rPr>
      <w:rFonts w:cs="OpenSymbol"/>
    </w:rPr>
  </w:style>
  <w:style w:type="character" w:styleId="ListLabel63">
    <w:name w:val="ListLabel 63"/>
    <w:qFormat/>
    <w:rPr>
      <w:rFonts w:cs="OpenSymbol"/>
    </w:rPr>
  </w:style>
  <w:style w:type="character" w:styleId="ListLabel64">
    <w:name w:val="ListLabel 64"/>
    <w:qFormat/>
    <w:rPr>
      <w:rFonts w:cs="OpenSymbol"/>
    </w:rPr>
  </w:style>
  <w:style w:type="character" w:styleId="ListLabel65">
    <w:name w:val="ListLabel 65"/>
    <w:qFormat/>
    <w:rPr>
      <w:rFonts w:cs="OpenSymbol"/>
    </w:rPr>
  </w:style>
  <w:style w:type="character" w:styleId="ListLabel66">
    <w:name w:val="ListLabel 66"/>
    <w:qFormat/>
    <w:rPr>
      <w:rFonts w:cs="OpenSymbol"/>
    </w:rPr>
  </w:style>
  <w:style w:type="character" w:styleId="ListLabel67">
    <w:name w:val="ListLabel 67"/>
    <w:qFormat/>
    <w:rPr>
      <w:rFonts w:cs="OpenSymbol"/>
    </w:rPr>
  </w:style>
  <w:style w:type="character" w:styleId="ListLabel68">
    <w:name w:val="ListLabel 68"/>
    <w:qFormat/>
    <w:rPr>
      <w:rFonts w:cs="OpenSymbol"/>
    </w:rPr>
  </w:style>
  <w:style w:type="character" w:styleId="ListLabel69">
    <w:name w:val="ListLabel 69"/>
    <w:qFormat/>
    <w:rPr>
      <w:rFonts w:ascii="Lato" w:hAnsi="Lato" w:cs="OpenSymbol"/>
      <w:sz w:val="22"/>
    </w:rPr>
  </w:style>
  <w:style w:type="character" w:styleId="ListLabel70">
    <w:name w:val="ListLabel 70"/>
    <w:qFormat/>
    <w:rPr>
      <w:rFonts w:cs="OpenSymbol"/>
    </w:rPr>
  </w:style>
  <w:style w:type="character" w:styleId="ListLabel71">
    <w:name w:val="ListLabel 71"/>
    <w:qFormat/>
    <w:rPr>
      <w:rFonts w:cs="OpenSymbol"/>
    </w:rPr>
  </w:style>
  <w:style w:type="character" w:styleId="ListLabel72">
    <w:name w:val="ListLabel 72"/>
    <w:qFormat/>
    <w:rPr>
      <w:rFonts w:cs="OpenSymbol"/>
    </w:rPr>
  </w:style>
  <w:style w:type="character" w:styleId="ListLabel73">
    <w:name w:val="ListLabel 73"/>
    <w:qFormat/>
    <w:rPr>
      <w:rFonts w:cs="OpenSymbol"/>
    </w:rPr>
  </w:style>
  <w:style w:type="character" w:styleId="ListLabel74">
    <w:name w:val="ListLabel 74"/>
    <w:qFormat/>
    <w:rPr>
      <w:rFonts w:cs="OpenSymbol"/>
    </w:rPr>
  </w:style>
  <w:style w:type="character" w:styleId="ListLabel75">
    <w:name w:val="ListLabel 75"/>
    <w:qFormat/>
    <w:rPr>
      <w:rFonts w:cs="OpenSymbol"/>
    </w:rPr>
  </w:style>
  <w:style w:type="character" w:styleId="ListLabel76">
    <w:name w:val="ListLabel 76"/>
    <w:qFormat/>
    <w:rPr>
      <w:rFonts w:cs="OpenSymbol"/>
    </w:rPr>
  </w:style>
  <w:style w:type="character" w:styleId="ListLabel77">
    <w:name w:val="ListLabel 77"/>
    <w:qFormat/>
    <w:rPr>
      <w:rFonts w:cs="OpenSymbol"/>
    </w:rPr>
  </w:style>
  <w:style w:type="paragraph" w:styleId="Heading">
    <w:name w:val="Heading"/>
    <w:basedOn w:val="Normal"/>
    <w:next w:val="TextBody"/>
    <w:qFormat/>
    <w:pPr>
      <w:keepNext/>
      <w:spacing w:before="240" w:after="120"/>
    </w:pPr>
    <w:rPr>
      <w:rFonts w:ascii="Arial" w:hAnsi="Arial"/>
      <w:sz w:val="28"/>
      <w:szCs w:val="28"/>
    </w:rPr>
  </w:style>
  <w:style w:type="paragraph" w:styleId="TextBody">
    <w:name w:val="Body Text"/>
    <w:basedOn w:val="Normal"/>
    <w:pPr>
      <w:spacing w:before="0" w:after="120"/>
    </w:pPr>
    <w:rPr/>
  </w:style>
  <w:style w:type="paragraph" w:styleId="List">
    <w:name w:val="List"/>
    <w:basedOn w:val="TextBody"/>
    <w:pPr/>
    <w:rPr/>
  </w:style>
  <w:style w:type="paragraph" w:styleId="Caption">
    <w:name w:val="Caption"/>
    <w:basedOn w:val="Normal"/>
    <w:qFormat/>
    <w:pPr>
      <w:suppressLineNumbers/>
      <w:spacing w:before="120" w:after="120"/>
    </w:pPr>
    <w:rPr>
      <w:rFonts w:cs="FreeSans"/>
      <w:i/>
      <w:iCs/>
      <w:sz w:val="24"/>
      <w:szCs w:val="24"/>
    </w:rPr>
  </w:style>
  <w:style w:type="paragraph" w:styleId="Index">
    <w:name w:val="Index"/>
    <w:basedOn w:val="Normal"/>
    <w:qFormat/>
    <w:pPr>
      <w:suppressLineNumbers/>
    </w:pPr>
    <w:rPr/>
  </w:style>
  <w:style w:type="paragraph" w:styleId="Caption1">
    <w:name w:val="caption"/>
    <w:basedOn w:val="Normal"/>
    <w:qFormat/>
    <w:pPr>
      <w:suppressLineNumbers/>
      <w:spacing w:before="120" w:after="120"/>
    </w:pPr>
    <w:rPr>
      <w:i/>
      <w:iCs/>
    </w:rPr>
  </w:style>
  <w:style w:type="paragraph" w:styleId="HeaderandFooter">
    <w:name w:val="Header and Footer"/>
    <w:basedOn w:val="Normal"/>
    <w:qFormat/>
    <w:pPr>
      <w:suppressLineNumbers/>
      <w:tabs>
        <w:tab w:val="center" w:pos="4819" w:leader="none"/>
        <w:tab w:val="right" w:pos="9638" w:leader="none"/>
      </w:tabs>
    </w:pPr>
    <w:rPr/>
  </w:style>
  <w:style w:type="paragraph" w:styleId="Footer">
    <w:name w:val="Footer"/>
    <w:basedOn w:val="Normal"/>
    <w:pPr>
      <w:suppressLineNumbers/>
      <w:tabs>
        <w:tab w:val="center" w:pos="4819" w:leader="none"/>
        <w:tab w:val="right" w:pos="9638" w:leader="none"/>
      </w:tabs>
    </w:pPr>
    <w:rPr/>
  </w:style>
  <w:style w:type="paragraph" w:styleId="TableContents">
    <w:name w:val="Table Contents"/>
    <w:basedOn w:val="Normal"/>
    <w:qFormat/>
    <w:pPr>
      <w:suppressLineNumbers/>
    </w:pPr>
    <w:rPr/>
  </w:style>
  <w:style w:type="paragraph" w:styleId="TableHeading">
    <w:name w:val="Table Heading"/>
    <w:basedOn w:val="TableContents"/>
    <w:qFormat/>
    <w:pPr>
      <w:jc w:val="center"/>
    </w:pPr>
    <w:rPr>
      <w:b/>
      <w:bCs/>
    </w:rPr>
  </w:style>
  <w:style w:type="paragraph" w:styleId="Figure">
    <w:name w:val="Figure"/>
    <w:basedOn w:val="Caption1"/>
    <w:qFormat/>
    <w:pPr>
      <w:spacing w:lineRule="auto" w:line="360"/>
      <w:jc w:val="both"/>
    </w:pPr>
    <w:rPr>
      <w:i/>
      <w:iCs w:val="false"/>
    </w:rPr>
  </w:style>
  <w:style w:type="paragraph" w:styleId="FrameContents">
    <w:name w:val="Frame Contents"/>
    <w:basedOn w:val="Normal"/>
    <w:qFormat/>
    <w:pPr/>
    <w:rPr/>
  </w:style>
  <w:style w:type="paragraph" w:styleId="Table">
    <w:name w:val="Table"/>
    <w:basedOn w:val="Caption1"/>
    <w:qFormat/>
    <w:pPr/>
    <w:rPr/>
  </w:style>
  <w:style w:type="paragraph" w:styleId="Quotations">
    <w:name w:val="Quotations"/>
    <w:basedOn w:val="Normal"/>
    <w:qFormat/>
    <w:pPr>
      <w:spacing w:before="0" w:after="283"/>
      <w:ind w:left="567" w:right="567" w:hanging="0"/>
    </w:pPr>
    <w:rPr/>
  </w:style>
  <w:style w:type="paragraph" w:styleId="Title">
    <w:name w:val="Title"/>
    <w:basedOn w:val="Heading"/>
    <w:qFormat/>
    <w:pPr>
      <w:jc w:val="center"/>
    </w:pPr>
    <w:rPr>
      <w:b/>
      <w:bCs/>
      <w:sz w:val="36"/>
      <w:szCs w:val="36"/>
    </w:rPr>
  </w:style>
  <w:style w:type="paragraph" w:styleId="Subtitle">
    <w:name w:val="Subtitle"/>
    <w:basedOn w:val="Heading"/>
    <w:qFormat/>
    <w:pPr>
      <w:jc w:val="center"/>
    </w:pPr>
    <w:rPr>
      <w:i/>
      <w:iCs/>
    </w:rPr>
  </w:style>
  <w:style w:type="paragraph" w:styleId="Default">
    <w:name w:val="Default"/>
    <w:qFormat/>
    <w:pPr>
      <w:widowControl/>
      <w:tabs>
        <w:tab w:val="left" w:pos="0" w:leader="none"/>
        <w:tab w:val="left" w:pos="707" w:leader="none"/>
        <w:tab w:val="left" w:pos="1414" w:leader="none"/>
        <w:tab w:val="left" w:pos="2122" w:leader="none"/>
        <w:tab w:val="left" w:pos="2830" w:leader="none"/>
        <w:tab w:val="left" w:pos="3537" w:leader="none"/>
        <w:tab w:val="left" w:pos="4245" w:leader="none"/>
        <w:tab w:val="left" w:pos="4952" w:leader="none"/>
        <w:tab w:val="left" w:pos="5660" w:leader="none"/>
        <w:tab w:val="left" w:pos="6367" w:leader="none"/>
        <w:tab w:val="left" w:pos="7075" w:leader="none"/>
        <w:tab w:val="left" w:pos="7782" w:leader="none"/>
        <w:tab w:val="left" w:pos="8490" w:leader="none"/>
        <w:tab w:val="left" w:pos="9197" w:leader="none"/>
        <w:tab w:val="left" w:pos="9905" w:leader="none"/>
        <w:tab w:val="left" w:pos="10612" w:leader="none"/>
        <w:tab w:val="left" w:pos="11320" w:leader="none"/>
        <w:tab w:val="left" w:pos="12027" w:leader="none"/>
        <w:tab w:val="left" w:pos="12735" w:leader="none"/>
        <w:tab w:val="left" w:pos="13442" w:leader="none"/>
        <w:tab w:val="left" w:pos="14150" w:leader="none"/>
      </w:tabs>
      <w:suppressAutoHyphens w:val="true"/>
      <w:overflowPunct w:val="false"/>
      <w:bidi w:val="0"/>
      <w:jc w:val="left"/>
    </w:pPr>
    <w:rPr>
      <w:rFonts w:ascii="DejaVu Sans" w:hAnsi="DejaVu Sans" w:eastAsia="DejaVu Sans" w:cs="Liberation Sans"/>
      <w:color w:val="FFFFFF"/>
      <w:sz w:val="36"/>
      <w:szCs w:val="24"/>
      <w:lang w:val="en-GB" w:eastAsia="zh-CN" w:bidi="hi-IN"/>
    </w:rPr>
  </w:style>
  <w:style w:type="paragraph" w:styleId="Objectwitharrow">
    <w:name w:val="Object with arrow"/>
    <w:basedOn w:val="Default"/>
    <w:qFormat/>
    <w:pPr/>
    <w:rPr/>
  </w:style>
  <w:style w:type="paragraph" w:styleId="Objectwithshadow">
    <w:name w:val="Object with shadow"/>
    <w:basedOn w:val="Default"/>
    <w:qFormat/>
    <w:pPr/>
    <w:rPr/>
  </w:style>
  <w:style w:type="paragraph" w:styleId="Objectwithoutfill">
    <w:name w:val="Object without fill"/>
    <w:basedOn w:val="Default"/>
    <w:qFormat/>
    <w:pPr/>
    <w:rPr/>
  </w:style>
  <w:style w:type="paragraph" w:styleId="Objectwithnofillandnoline">
    <w:name w:val="Object with no fill and no line"/>
    <w:basedOn w:val="Default"/>
    <w:qFormat/>
    <w:pPr/>
    <w:rPr/>
  </w:style>
  <w:style w:type="paragraph" w:styleId="Textbodyjustified">
    <w:name w:val="Text body justified"/>
    <w:basedOn w:val="Default"/>
    <w:qFormat/>
    <w:pPr/>
    <w:rPr/>
  </w:style>
  <w:style w:type="paragraph" w:styleId="Title1">
    <w:name w:val="Title1"/>
    <w:basedOn w:val="Default"/>
    <w:qFormat/>
    <w:pPr>
      <w:jc w:val="center"/>
    </w:pPr>
    <w:rPr/>
  </w:style>
  <w:style w:type="paragraph" w:styleId="Title2">
    <w:name w:val="Title2"/>
    <w:basedOn w:val="Default"/>
    <w:qFormat/>
    <w:pPr>
      <w:spacing w:before="57" w:after="57"/>
      <w:ind w:left="0" w:right="113" w:hanging="0"/>
      <w:jc w:val="center"/>
    </w:pPr>
    <w:rPr/>
  </w:style>
  <w:style w:type="paragraph" w:styleId="Default1">
    <w:name w:val="default"/>
    <w:qFormat/>
    <w:pPr>
      <w:widowControl/>
      <w:suppressAutoHyphens w:val="true"/>
      <w:overflowPunct w:val="false"/>
      <w:bidi w:val="0"/>
      <w:jc w:val="left"/>
    </w:pPr>
    <w:rPr>
      <w:rFonts w:ascii="FreeSans" w:hAnsi="FreeSans" w:eastAsia="DejaVu Sans" w:cs="Liberation Sans"/>
      <w:color w:val="FFFFFF"/>
      <w:sz w:val="36"/>
      <w:szCs w:val="24"/>
      <w:lang w:val="en-GB" w:eastAsia="zh-CN" w:bidi="hi-IN"/>
    </w:rPr>
  </w:style>
  <w:style w:type="paragraph" w:styleId="Bw1">
    <w:name w:val="bw1"/>
    <w:basedOn w:val="Default1"/>
    <w:qFormat/>
    <w:pPr/>
    <w:rPr/>
  </w:style>
  <w:style w:type="paragraph" w:styleId="Bw2">
    <w:name w:val="bw2"/>
    <w:basedOn w:val="Default1"/>
    <w:qFormat/>
    <w:pPr/>
    <w:rPr/>
  </w:style>
  <w:style w:type="paragraph" w:styleId="Bw3">
    <w:name w:val="bw3"/>
    <w:basedOn w:val="Default1"/>
    <w:qFormat/>
    <w:pPr/>
    <w:rPr/>
  </w:style>
  <w:style w:type="paragraph" w:styleId="Orange1">
    <w:name w:val="orange1"/>
    <w:basedOn w:val="Default1"/>
    <w:qFormat/>
    <w:pPr/>
    <w:rPr/>
  </w:style>
  <w:style w:type="paragraph" w:styleId="Orange2">
    <w:name w:val="orange2"/>
    <w:basedOn w:val="Default1"/>
    <w:qFormat/>
    <w:pPr/>
    <w:rPr/>
  </w:style>
  <w:style w:type="paragraph" w:styleId="Orange3">
    <w:name w:val="orange3"/>
    <w:basedOn w:val="Default1"/>
    <w:qFormat/>
    <w:pPr/>
    <w:rPr/>
  </w:style>
  <w:style w:type="paragraph" w:styleId="Turquoise1">
    <w:name w:val="turquoise1"/>
    <w:basedOn w:val="Default1"/>
    <w:qFormat/>
    <w:pPr/>
    <w:rPr/>
  </w:style>
  <w:style w:type="paragraph" w:styleId="Turquoise2">
    <w:name w:val="turquoise2"/>
    <w:basedOn w:val="Default1"/>
    <w:qFormat/>
    <w:pPr/>
    <w:rPr/>
  </w:style>
  <w:style w:type="paragraph" w:styleId="Turquoise3">
    <w:name w:val="turquoise3"/>
    <w:basedOn w:val="Default1"/>
    <w:qFormat/>
    <w:pPr/>
    <w:rPr/>
  </w:style>
  <w:style w:type="paragraph" w:styleId="Blue1">
    <w:name w:val="blue1"/>
    <w:basedOn w:val="Default1"/>
    <w:qFormat/>
    <w:pPr/>
    <w:rPr/>
  </w:style>
  <w:style w:type="paragraph" w:styleId="Blue2">
    <w:name w:val="blue2"/>
    <w:basedOn w:val="Default1"/>
    <w:qFormat/>
    <w:pPr/>
    <w:rPr/>
  </w:style>
  <w:style w:type="paragraph" w:styleId="Blue3">
    <w:name w:val="blue3"/>
    <w:basedOn w:val="Default1"/>
    <w:qFormat/>
    <w:pPr/>
    <w:rPr/>
  </w:style>
  <w:style w:type="paragraph" w:styleId="Sun1">
    <w:name w:val="sun1"/>
    <w:basedOn w:val="Default1"/>
    <w:qFormat/>
    <w:pPr/>
    <w:rPr/>
  </w:style>
  <w:style w:type="paragraph" w:styleId="Sun2">
    <w:name w:val="sun2"/>
    <w:basedOn w:val="Default1"/>
    <w:qFormat/>
    <w:pPr/>
    <w:rPr/>
  </w:style>
  <w:style w:type="paragraph" w:styleId="Sun3">
    <w:name w:val="sun3"/>
    <w:basedOn w:val="Default1"/>
    <w:qFormat/>
    <w:pPr/>
    <w:rPr/>
  </w:style>
  <w:style w:type="paragraph" w:styleId="Seetang1">
    <w:name w:val="seetang1"/>
    <w:basedOn w:val="Default1"/>
    <w:qFormat/>
    <w:pPr/>
    <w:rPr/>
  </w:style>
  <w:style w:type="paragraph" w:styleId="Seetang2">
    <w:name w:val="seetang2"/>
    <w:basedOn w:val="Default1"/>
    <w:qFormat/>
    <w:pPr/>
    <w:rPr/>
  </w:style>
  <w:style w:type="paragraph" w:styleId="Seetang3">
    <w:name w:val="seetang3"/>
    <w:basedOn w:val="Default1"/>
    <w:qFormat/>
    <w:pPr/>
    <w:rPr/>
  </w:style>
  <w:style w:type="paragraph" w:styleId="Lightblue1">
    <w:name w:val="lightblue1"/>
    <w:basedOn w:val="Default1"/>
    <w:qFormat/>
    <w:pPr/>
    <w:rPr/>
  </w:style>
  <w:style w:type="paragraph" w:styleId="Lightblue2">
    <w:name w:val="lightblue2"/>
    <w:basedOn w:val="Default1"/>
    <w:qFormat/>
    <w:pPr/>
    <w:rPr/>
  </w:style>
  <w:style w:type="paragraph" w:styleId="Lightblue3">
    <w:name w:val="lightblue3"/>
    <w:basedOn w:val="Default1"/>
    <w:qFormat/>
    <w:pPr/>
    <w:rPr/>
  </w:style>
  <w:style w:type="paragraph" w:styleId="Yellow1">
    <w:name w:val="yellow1"/>
    <w:basedOn w:val="Default1"/>
    <w:qFormat/>
    <w:pPr/>
    <w:rPr/>
  </w:style>
  <w:style w:type="paragraph" w:styleId="Yellow2">
    <w:name w:val="yellow2"/>
    <w:basedOn w:val="Default1"/>
    <w:qFormat/>
    <w:pPr/>
    <w:rPr/>
  </w:style>
  <w:style w:type="paragraph" w:styleId="Yellow3">
    <w:name w:val="yellow3"/>
    <w:basedOn w:val="Default1"/>
    <w:qFormat/>
    <w:pPr/>
    <w:rPr/>
  </w:style>
  <w:style w:type="paragraph" w:styleId="Backgroundobjects">
    <w:name w:val="Background objects"/>
    <w:qFormat/>
    <w:pPr>
      <w:widowControl/>
      <w:tabs>
        <w:tab w:val="left" w:pos="0" w:leader="none"/>
        <w:tab w:val="left" w:pos="707" w:leader="none"/>
        <w:tab w:val="left" w:pos="1414" w:leader="none"/>
        <w:tab w:val="left" w:pos="2122" w:leader="none"/>
        <w:tab w:val="left" w:pos="2830" w:leader="none"/>
        <w:tab w:val="left" w:pos="3537" w:leader="none"/>
        <w:tab w:val="left" w:pos="4245" w:leader="none"/>
        <w:tab w:val="left" w:pos="4952" w:leader="none"/>
        <w:tab w:val="left" w:pos="5660" w:leader="none"/>
        <w:tab w:val="left" w:pos="6367" w:leader="none"/>
        <w:tab w:val="left" w:pos="7075" w:leader="none"/>
        <w:tab w:val="left" w:pos="7782" w:leader="none"/>
        <w:tab w:val="left" w:pos="8490" w:leader="none"/>
        <w:tab w:val="left" w:pos="9197" w:leader="none"/>
        <w:tab w:val="left" w:pos="9905" w:leader="none"/>
        <w:tab w:val="left" w:pos="10612" w:leader="none"/>
        <w:tab w:val="left" w:pos="11320" w:leader="none"/>
        <w:tab w:val="left" w:pos="12027" w:leader="none"/>
        <w:tab w:val="left" w:pos="12735" w:leader="none"/>
        <w:tab w:val="left" w:pos="13442" w:leader="none"/>
        <w:tab w:val="left" w:pos="14150" w:leader="none"/>
      </w:tabs>
      <w:suppressAutoHyphens w:val="true"/>
      <w:overflowPunct w:val="false"/>
      <w:bidi w:val="0"/>
      <w:jc w:val="left"/>
    </w:pPr>
    <w:rPr>
      <w:rFonts w:ascii="DejaVu Sans" w:hAnsi="DejaVu Sans" w:eastAsia="DejaVu Sans" w:cs="Liberation Sans"/>
      <w:color w:val="FFFFFF"/>
      <w:sz w:val="36"/>
      <w:szCs w:val="24"/>
      <w:lang w:val="en-GB" w:eastAsia="zh-CN" w:bidi="hi-IN"/>
    </w:rPr>
  </w:style>
  <w:style w:type="paragraph" w:styleId="Background">
    <w:name w:val="Background"/>
    <w:qFormat/>
    <w:pPr>
      <w:widowControl/>
      <w:suppressAutoHyphens w:val="true"/>
      <w:overflowPunct w:val="false"/>
      <w:bidi w:val="0"/>
      <w:jc w:val="center"/>
    </w:pPr>
    <w:rPr>
      <w:rFonts w:ascii="Liberation Serif" w:hAnsi="Liberation Serif" w:eastAsia="DejaVu Sans" w:cs="Liberation Sans"/>
      <w:color w:val="00000A"/>
      <w:sz w:val="24"/>
      <w:szCs w:val="24"/>
      <w:lang w:val="en-GB" w:eastAsia="zh-CN" w:bidi="hi-IN"/>
    </w:rPr>
  </w:style>
  <w:style w:type="paragraph" w:styleId="Notes">
    <w:name w:val="Notes"/>
    <w:qFormat/>
    <w:pPr>
      <w:widowControl/>
      <w:tabs>
        <w:tab w:val="left" w:pos="0" w:leader="none"/>
        <w:tab w:val="left" w:pos="707" w:leader="none"/>
        <w:tab w:val="left" w:pos="1414" w:leader="none"/>
        <w:tab w:val="left" w:pos="2122" w:leader="none"/>
        <w:tab w:val="left" w:pos="2830" w:leader="none"/>
        <w:tab w:val="left" w:pos="3537" w:leader="none"/>
        <w:tab w:val="left" w:pos="4245" w:leader="none"/>
        <w:tab w:val="left" w:pos="4952" w:leader="none"/>
        <w:tab w:val="left" w:pos="5660" w:leader="none"/>
        <w:tab w:val="left" w:pos="6367" w:leader="none"/>
        <w:tab w:val="left" w:pos="7075" w:leader="none"/>
        <w:tab w:val="left" w:pos="7782" w:leader="none"/>
        <w:tab w:val="left" w:pos="8490" w:leader="none"/>
        <w:tab w:val="left" w:pos="9197" w:leader="none"/>
        <w:tab w:val="left" w:pos="9905" w:leader="none"/>
        <w:tab w:val="left" w:pos="10612" w:leader="none"/>
        <w:tab w:val="left" w:pos="11320" w:leader="none"/>
        <w:tab w:val="left" w:pos="12027" w:leader="none"/>
        <w:tab w:val="left" w:pos="12735" w:leader="none"/>
        <w:tab w:val="left" w:pos="13442" w:leader="none"/>
        <w:tab w:val="left" w:pos="14150" w:leader="none"/>
      </w:tabs>
      <w:suppressAutoHyphens w:val="true"/>
      <w:overflowPunct w:val="false"/>
      <w:bidi w:val="0"/>
      <w:spacing w:before="90" w:after="0"/>
      <w:jc w:val="left"/>
    </w:pPr>
    <w:rPr>
      <w:rFonts w:ascii="FreeSans" w:hAnsi="FreeSans" w:eastAsia="DejaVu Sans" w:cs="Liberation Sans"/>
      <w:color w:val="000000"/>
      <w:sz w:val="24"/>
      <w:szCs w:val="24"/>
      <w:lang w:val="en-GB" w:eastAsia="zh-CN" w:bidi="hi-IN"/>
    </w:rPr>
  </w:style>
  <w:style w:type="paragraph" w:styleId="Outline1">
    <w:name w:val="Outline 1"/>
    <w:qFormat/>
    <w:pPr>
      <w:widowControl/>
      <w:tabs>
        <w:tab w:val="left" w:pos="0" w:leader="none"/>
        <w:tab w:val="left" w:pos="167" w:leader="none"/>
        <w:tab w:val="left" w:pos="875" w:leader="none"/>
        <w:tab w:val="left" w:pos="1582" w:leader="none"/>
        <w:tab w:val="left" w:pos="2290" w:leader="none"/>
        <w:tab w:val="left" w:pos="2997" w:leader="none"/>
        <w:tab w:val="left" w:pos="3705" w:leader="none"/>
        <w:tab w:val="left" w:pos="4412" w:leader="none"/>
        <w:tab w:val="left" w:pos="5120" w:leader="none"/>
        <w:tab w:val="left" w:pos="5827" w:leader="none"/>
        <w:tab w:val="left" w:pos="6535" w:leader="none"/>
        <w:tab w:val="left" w:pos="7242" w:leader="none"/>
        <w:tab w:val="left" w:pos="7949" w:leader="none"/>
        <w:tab w:val="left" w:pos="8657" w:leader="none"/>
        <w:tab w:val="left" w:pos="9365" w:leader="none"/>
        <w:tab w:val="left" w:pos="10072" w:leader="none"/>
        <w:tab w:val="left" w:pos="10780" w:leader="none"/>
        <w:tab w:val="left" w:pos="11487" w:leader="none"/>
        <w:tab w:val="left" w:pos="12195" w:leader="none"/>
        <w:tab w:val="left" w:pos="12902" w:leader="none"/>
        <w:tab w:val="left" w:pos="13610" w:leader="none"/>
      </w:tabs>
      <w:suppressAutoHyphens w:val="true"/>
      <w:overflowPunct w:val="false"/>
      <w:bidi w:val="0"/>
      <w:spacing w:before="0" w:after="285"/>
      <w:ind w:left="540" w:right="0" w:hanging="540"/>
      <w:jc w:val="left"/>
    </w:pPr>
    <w:rPr>
      <w:rFonts w:ascii="DejaVu Sans" w:hAnsi="DejaVu Sans" w:eastAsia="DejaVu Sans" w:cs="Liberation Sans"/>
      <w:color w:val="000000"/>
      <w:sz w:val="64"/>
      <w:szCs w:val="24"/>
      <w:lang w:val="en-GB" w:eastAsia="zh-CN" w:bidi="hi-IN"/>
    </w:rPr>
  </w:style>
  <w:style w:type="paragraph" w:styleId="Outline2">
    <w:name w:val="Outline 2"/>
    <w:basedOn w:val="Outline1"/>
    <w:qFormat/>
    <w:pPr>
      <w:tabs>
        <w:tab w:val="left" w:pos="245" w:leader="none"/>
        <w:tab w:val="left" w:pos="952" w:leader="none"/>
        <w:tab w:val="left" w:pos="1660" w:leader="none"/>
        <w:tab w:val="left" w:pos="2367" w:leader="none"/>
        <w:tab w:val="left" w:pos="3074" w:leader="none"/>
        <w:tab w:val="left" w:pos="3782" w:leader="none"/>
        <w:tab w:val="left" w:pos="4490" w:leader="none"/>
        <w:tab w:val="left" w:pos="5197" w:leader="none"/>
        <w:tab w:val="left" w:pos="5905" w:leader="none"/>
        <w:tab w:val="left" w:pos="6612" w:leader="none"/>
        <w:tab w:val="left" w:pos="7320" w:leader="none"/>
        <w:tab w:val="left" w:pos="8027" w:leader="none"/>
        <w:tab w:val="left" w:pos="8735" w:leader="none"/>
        <w:tab w:val="left" w:pos="9442" w:leader="none"/>
        <w:tab w:val="left" w:pos="10150" w:leader="none"/>
        <w:tab w:val="left" w:pos="10857" w:leader="none"/>
        <w:tab w:val="left" w:pos="11565" w:leader="none"/>
        <w:tab w:val="left" w:pos="12272" w:leader="none"/>
        <w:tab w:val="left" w:pos="12980" w:leader="none"/>
        <w:tab w:val="left" w:pos="13687" w:leader="none"/>
      </w:tabs>
      <w:spacing w:before="0" w:after="227"/>
      <w:ind w:left="1170" w:right="0" w:hanging="450"/>
    </w:pPr>
    <w:rPr>
      <w:sz w:val="56"/>
    </w:rPr>
  </w:style>
  <w:style w:type="paragraph" w:styleId="Outline3">
    <w:name w:val="Outline 3"/>
    <w:basedOn w:val="Outline2"/>
    <w:qFormat/>
    <w:pPr>
      <w:tabs>
        <w:tab w:val="left" w:pos="322" w:leader="none"/>
        <w:tab w:val="left" w:pos="1030" w:leader="none"/>
        <w:tab w:val="left" w:pos="1737" w:leader="none"/>
        <w:tab w:val="left" w:pos="2445" w:leader="none"/>
        <w:tab w:val="left" w:pos="3152" w:leader="none"/>
        <w:tab w:val="left" w:pos="3860" w:leader="none"/>
        <w:tab w:val="left" w:pos="4567" w:leader="none"/>
        <w:tab w:val="left" w:pos="5275" w:leader="none"/>
        <w:tab w:val="left" w:pos="5982" w:leader="none"/>
        <w:tab w:val="left" w:pos="6690" w:leader="none"/>
        <w:tab w:val="left" w:pos="7397" w:leader="none"/>
        <w:tab w:val="left" w:pos="8105" w:leader="none"/>
        <w:tab w:val="left" w:pos="8812" w:leader="none"/>
        <w:tab w:val="left" w:pos="9520" w:leader="none"/>
        <w:tab w:val="left" w:pos="10227" w:leader="none"/>
        <w:tab w:val="left" w:pos="10935" w:leader="none"/>
        <w:tab w:val="left" w:pos="11642" w:leader="none"/>
        <w:tab w:val="left" w:pos="12350" w:leader="none"/>
        <w:tab w:val="left" w:pos="13057" w:leader="none"/>
        <w:tab w:val="left" w:pos="13764" w:leader="none"/>
      </w:tabs>
      <w:spacing w:before="0" w:after="170"/>
      <w:ind w:left="1800" w:right="0" w:hanging="360"/>
    </w:pPr>
    <w:rPr>
      <w:sz w:val="48"/>
    </w:rPr>
  </w:style>
  <w:style w:type="paragraph" w:styleId="Outline4">
    <w:name w:val="Outline 4"/>
    <w:basedOn w:val="Outline3"/>
    <w:qFormat/>
    <w:pPr>
      <w:tabs>
        <w:tab w:val="left" w:pos="310" w:leader="none"/>
        <w:tab w:val="left" w:pos="1017" w:leader="none"/>
        <w:tab w:val="left" w:pos="1725" w:leader="none"/>
        <w:tab w:val="left" w:pos="2432" w:leader="none"/>
        <w:tab w:val="left" w:pos="3140" w:leader="none"/>
        <w:tab w:val="left" w:pos="3847" w:leader="none"/>
        <w:tab w:val="left" w:pos="4555" w:leader="none"/>
        <w:tab w:val="left" w:pos="5262" w:leader="none"/>
        <w:tab w:val="left" w:pos="5970" w:leader="none"/>
        <w:tab w:val="left" w:pos="6677" w:leader="none"/>
        <w:tab w:val="left" w:pos="7385" w:leader="none"/>
        <w:tab w:val="left" w:pos="8092" w:leader="none"/>
        <w:tab w:val="left" w:pos="8800" w:leader="none"/>
        <w:tab w:val="left" w:pos="9507" w:leader="none"/>
        <w:tab w:val="left" w:pos="10215" w:leader="none"/>
        <w:tab w:val="left" w:pos="10922" w:leader="none"/>
        <w:tab w:val="left" w:pos="11630" w:leader="none"/>
        <w:tab w:val="left" w:pos="12337" w:leader="none"/>
        <w:tab w:val="left" w:pos="13044" w:leader="none"/>
        <w:tab w:val="left" w:pos="13752" w:leader="none"/>
      </w:tabs>
      <w:spacing w:before="0" w:after="115"/>
      <w:ind w:left="2520" w:right="0" w:hanging="360"/>
    </w:pPr>
    <w:rPr>
      <w:sz w:val="40"/>
    </w:rPr>
  </w:style>
  <w:style w:type="paragraph" w:styleId="Outline5">
    <w:name w:val="Outline 5"/>
    <w:basedOn w:val="Outline4"/>
    <w:qFormat/>
    <w:pPr>
      <w:tabs>
        <w:tab w:val="left" w:pos="297" w:leader="none"/>
        <w:tab w:val="left" w:pos="1005" w:leader="none"/>
        <w:tab w:val="left" w:pos="1712" w:leader="none"/>
        <w:tab w:val="left" w:pos="2420" w:leader="none"/>
        <w:tab w:val="left" w:pos="3127" w:leader="none"/>
        <w:tab w:val="left" w:pos="3835" w:leader="none"/>
        <w:tab w:val="left" w:pos="4542" w:leader="none"/>
        <w:tab w:val="left" w:pos="5250" w:leader="none"/>
        <w:tab w:val="left" w:pos="5957" w:leader="none"/>
        <w:tab w:val="left" w:pos="6665" w:leader="none"/>
        <w:tab w:val="left" w:pos="7372" w:leader="none"/>
        <w:tab w:val="left" w:pos="8080" w:leader="none"/>
        <w:tab w:val="left" w:pos="8787" w:leader="none"/>
        <w:tab w:val="left" w:pos="9495" w:leader="none"/>
        <w:tab w:val="left" w:pos="10202" w:leader="none"/>
        <w:tab w:val="left" w:pos="10910" w:leader="none"/>
        <w:tab w:val="left" w:pos="11617" w:leader="none"/>
        <w:tab w:val="left" w:pos="12324" w:leader="none"/>
        <w:tab w:val="left" w:pos="13032" w:leader="none"/>
        <w:tab w:val="left" w:pos="13740" w:leader="none"/>
      </w:tabs>
      <w:spacing w:before="0" w:after="57"/>
      <w:ind w:left="3240" w:right="0" w:hanging="360"/>
    </w:pPr>
    <w:rPr/>
  </w:style>
  <w:style w:type="paragraph" w:styleId="Outline6">
    <w:name w:val="Outline 6"/>
    <w:basedOn w:val="Outline5"/>
    <w:qFormat/>
    <w:pPr/>
    <w:rPr/>
  </w:style>
  <w:style w:type="paragraph" w:styleId="Outline7">
    <w:name w:val="Outline 7"/>
    <w:basedOn w:val="Outline6"/>
    <w:qFormat/>
    <w:pPr/>
    <w:rPr/>
  </w:style>
  <w:style w:type="paragraph" w:styleId="Outline8">
    <w:name w:val="Outline 8"/>
    <w:basedOn w:val="Outline7"/>
    <w:qFormat/>
    <w:pPr/>
    <w:rPr/>
  </w:style>
  <w:style w:type="paragraph" w:styleId="Outline9">
    <w:name w:val="Outline 9"/>
    <w:basedOn w:val="Outline8"/>
    <w:qFormat/>
    <w:pPr/>
    <w:rPr/>
  </w:style>
  <w:style w:type="paragraph" w:styleId="Text">
    <w:name w:val="Text"/>
    <w:basedOn w:val="Caption1"/>
    <w:qFormat/>
    <w:pPr/>
    <w:rPr/>
  </w:style>
  <w:style w:type="paragraph" w:styleId="NormalWeb">
    <w:name w:val="Normal (Web)"/>
    <w:basedOn w:val="Normal"/>
    <w:qFormat/>
    <w:pPr>
      <w:widowControl/>
      <w:suppressAutoHyphens w:val="false"/>
      <w:spacing w:before="280" w:after="280"/>
    </w:pPr>
    <w:rPr>
      <w:rFonts w:eastAsia="Times New Roman" w:cs="Times New Roman"/>
      <w:lang w:val="en-IE" w:eastAsia="en-IE" w:bidi="ar-SA"/>
    </w:rPr>
  </w:style>
  <w:style w:type="paragraph" w:styleId="Endnotetext">
    <w:name w:val="endnote text"/>
    <w:basedOn w:val="Normal"/>
    <w:qFormat/>
    <w:pPr/>
    <w:rPr>
      <w:rFonts w:cs="Mangal"/>
      <w:sz w:val="20"/>
      <w:szCs w:val="18"/>
    </w:rPr>
  </w:style>
  <w:style w:type="paragraph" w:styleId="BalloonText">
    <w:name w:val="Balloon Text"/>
    <w:basedOn w:val="Normal"/>
    <w:qFormat/>
    <w:pPr/>
    <w:rPr>
      <w:rFonts w:ascii="Tahoma" w:hAnsi="Tahoma" w:cs="Mangal"/>
      <w:sz w:val="16"/>
      <w:szCs w:val="14"/>
    </w:rPr>
  </w:style>
  <w:style w:type="paragraph" w:styleId="Annotationtext">
    <w:name w:val="annotation text"/>
    <w:basedOn w:val="Normal"/>
    <w:qFormat/>
    <w:pPr/>
    <w:rPr>
      <w:rFonts w:cs="Mangal"/>
      <w:sz w:val="20"/>
      <w:szCs w:val="18"/>
    </w:rPr>
  </w:style>
  <w:style w:type="paragraph" w:styleId="Annotationsubject">
    <w:name w:val="annotation subject"/>
    <w:basedOn w:val="Annotationtext"/>
    <w:qFormat/>
    <w:pPr/>
    <w:rPr>
      <w:b/>
      <w:bCs/>
    </w:rPr>
  </w:style>
  <w:style w:type="paragraph" w:styleId="MediumList1Accent41">
    <w:name w:val="Medium List 1 - Accent 41"/>
    <w:qFormat/>
    <w:pPr>
      <w:widowControl/>
      <w:overflowPunct w:val="false"/>
      <w:bidi w:val="0"/>
      <w:jc w:val="left"/>
    </w:pPr>
    <w:rPr>
      <w:rFonts w:ascii="Times New Roman" w:hAnsi="Times New Roman" w:eastAsia="DejaVu Sans" w:cs="Lohit Hindi"/>
      <w:color w:val="00000A"/>
      <w:sz w:val="24"/>
      <w:szCs w:val="24"/>
      <w:lang w:val="en-GB" w:eastAsia="zh-CN" w:bidi="hi-IN"/>
    </w:rPr>
  </w:style>
  <w:style w:type="paragraph" w:styleId="Header">
    <w:name w:val="Header"/>
    <w:basedOn w:val="Normal"/>
    <w:pPr>
      <w:tabs>
        <w:tab w:val="center" w:pos="4320" w:leader="none"/>
        <w:tab w:val="right" w:pos="8640" w:leader="none"/>
      </w:tabs>
    </w:pPr>
    <w:rPr/>
  </w:style>
  <w:style w:type="paragraph" w:styleId="Revision">
    <w:name w:val="Revision"/>
    <w:qFormat/>
    <w:pPr>
      <w:widowControl/>
      <w:overflowPunct w:val="false"/>
      <w:bidi w:val="0"/>
      <w:jc w:val="left"/>
    </w:pPr>
    <w:rPr>
      <w:rFonts w:ascii="Times New Roman" w:hAnsi="Times New Roman" w:eastAsia="DejaVu Sans" w:cs="Lohit Hindi"/>
      <w:color w:val="00000A"/>
      <w:sz w:val="24"/>
      <w:szCs w:val="24"/>
      <w:lang w:val="en-GB" w:eastAsia="zh-CN" w:bidi="hi-IN"/>
    </w:rPr>
  </w:style>
  <w:style w:type="paragraph" w:styleId="PreformattedText">
    <w:name w:val="Preformatted Text"/>
    <w:basedOn w:val="Normal"/>
    <w:qFormat/>
    <w:pPr>
      <w:spacing w:before="0" w:after="0"/>
    </w:pPr>
    <w:rPr>
      <w:rFonts w:ascii="Liberation Mono" w:hAnsi="Liberation Mono" w:eastAsia="Liberation Mono" w:cs="Liberation Mono"/>
      <w:sz w:val="20"/>
      <w:szCs w:val="20"/>
    </w:rPr>
  </w:style>
  <w:style w:type="paragraph" w:styleId="Code">
    <w:name w:val="Code"/>
    <w:qFormat/>
    <w:pPr>
      <w:widowControl w:val="false"/>
      <w:overflowPunct w:val="false"/>
      <w:bidi w:val="0"/>
      <w:spacing w:lineRule="auto" w:line="360"/>
      <w:jc w:val="both"/>
    </w:pPr>
    <w:rPr>
      <w:rFonts w:ascii="Courier" w:hAnsi="Courier" w:eastAsia="Times New Roman" w:cs="Times New Roman"/>
      <w:b w:val="false"/>
      <w:bCs w:val="false"/>
      <w:i w:val="false"/>
      <w:caps w:val="false"/>
      <w:smallCaps w:val="false"/>
      <w:color w:val="000000"/>
      <w:spacing w:val="0"/>
      <w:sz w:val="20"/>
      <w:szCs w:val="20"/>
      <w:lang w:val="en-IE" w:eastAsia="en-US" w:bidi="ar-SA"/>
    </w:rPr>
  </w:style>
  <w:style w:type="numbering" w:styleId="NoList">
    <w:name w:val="No List"/>
    <w:qFormat/>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s://github.com/dmnfarrell/epitopepredict" TargetMode="External"/><Relationship Id="rId3" Type="http://schemas.openxmlformats.org/officeDocument/2006/relationships/hyperlink" Target="" TargetMode="External"/><Relationship Id="rId4" Type="http://schemas.openxmlformats.org/officeDocument/2006/relationships/image" Target="media/image1.png"/><Relationship Id="rId5" Type="http://schemas.openxmlformats.org/officeDocument/2006/relationships/hyperlink" Target="https://github.com/dmnfarrell/epitopepredict/tree/master/examples" TargetMode="External"/><Relationship Id="rId6" Type="http://schemas.openxmlformats.org/officeDocument/2006/relationships/image" Target="media/image2.png"/><Relationship Id="rId7" Type="http://schemas.openxmlformats.org/officeDocument/2006/relationships/image" Target="media/image3.png"/><Relationship Id="rId8" Type="http://schemas.openxmlformats.org/officeDocument/2006/relationships/image" Target="media/image4.png"/><Relationship Id="rId9" Type="http://schemas.openxmlformats.org/officeDocument/2006/relationships/hyperlink" Target="https://github.com/dmnfarrell/mhcpredict" TargetMode="External"/><Relationship Id="rId10" Type="http://schemas.openxmlformats.org/officeDocument/2006/relationships/hyperlink" Target="https://github.com/dmnfarrell/mhcpredict" TargetMode="External"/><Relationship Id="rId11" Type="http://schemas.openxmlformats.org/officeDocument/2006/relationships/hyperlink" Target="http://epitopepredict.readthedocs.io/" TargetMode="External"/><Relationship Id="rId12" Type="http://schemas.openxmlformats.org/officeDocument/2006/relationships/hyperlink" Target="https://www.virtualbox.org/" TargetMode="External"/><Relationship Id="rId13" Type="http://schemas.openxmlformats.org/officeDocument/2006/relationships/header" Target="header1.xml"/><Relationship Id="rId14" Type="http://schemas.openxmlformats.org/officeDocument/2006/relationships/footer" Target="footer1.xml"/><Relationship Id="rId15" Type="http://schemas.openxmlformats.org/officeDocument/2006/relationships/numbering" Target="numbering.xml"/><Relationship Id="rId16" Type="http://schemas.openxmlformats.org/officeDocument/2006/relationships/fontTable" Target="fontTable.xml"/><Relationship Id="rId17"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emplate>Normal.dotm</Template>
  <TotalTime>30698</TotalTime>
  <Application>LibreOffice/5.1.6.2$Linux_X86_64 LibreOffice_project/10m0$Build-2</Application>
  <Pages>16</Pages>
  <Words>5551</Words>
  <Characters>30575</Characters>
  <CharactersWithSpaces>35945</CharactersWithSpaces>
  <Paragraphs>174</Paragraphs>
  <Company>Defra</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2016-03-15T15:56:00Z</dcterms:created>
  <dc:creator>damien</dc:creator>
  <dc:description/>
  <dc:language>en-IE</dc:language>
  <cp:lastModifiedBy/>
  <dcterms:modified xsi:type="dcterms:W3CDTF">2020-11-25T17:15:39Z</dcterms:modified>
  <cp:revision>688</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Defra</vt:lpwstr>
  </property>
  <property fmtid="{D5CDD505-2E9C-101B-9397-08002B2CF9AE}" pid="4" name="DocSecurity">
    <vt:i4>0</vt:i4>
  </property>
  <property fmtid="{D5CDD505-2E9C-101B-9397-08002B2CF9AE}" pid="5" name="HyperlinksChanged">
    <vt:bool>0</vt:bool>
  </property>
  <property fmtid="{D5CDD505-2E9C-101B-9397-08002B2CF9AE}" pid="6" name="LinksUpToDate">
    <vt:bool>0</vt:bool>
  </property>
  <property fmtid="{D5CDD505-2E9C-101B-9397-08002B2CF9AE}" pid="7" name="Mendeley Citation Style_1">
    <vt:lpwstr>http://www.zotero.org/styles/gigascience</vt:lpwstr>
  </property>
  <property fmtid="{D5CDD505-2E9C-101B-9397-08002B2CF9AE}" pid="8" name="Mendeley Document_1">
    <vt:lpwstr>True</vt:lpwstr>
  </property>
  <property fmtid="{D5CDD505-2E9C-101B-9397-08002B2CF9AE}" pid="9" name="Mendeley Recent Style Id 0_1">
    <vt:lpwstr>http://www.zotero.org/styles/american-political-science-association</vt:lpwstr>
  </property>
  <property fmtid="{D5CDD505-2E9C-101B-9397-08002B2CF9AE}" pid="10" name="Mendeley Recent Style Id 1_1">
    <vt:lpwstr>http://www.zotero.org/styles/apa</vt:lpwstr>
  </property>
  <property fmtid="{D5CDD505-2E9C-101B-9397-08002B2CF9AE}" pid="11" name="Mendeley Recent Style Id 2_1">
    <vt:lpwstr>http://www.zotero.org/styles/american-sociological-association</vt:lpwstr>
  </property>
  <property fmtid="{D5CDD505-2E9C-101B-9397-08002B2CF9AE}" pid="12" name="Mendeley Recent Style Id 3_1">
    <vt:lpwstr>http://www.zotero.org/styles/chicago-author-date</vt:lpwstr>
  </property>
  <property fmtid="{D5CDD505-2E9C-101B-9397-08002B2CF9AE}" pid="13" name="Mendeley Recent Style Id 4_1">
    <vt:lpwstr>http://www.zotero.org/styles/harvard1</vt:lpwstr>
  </property>
  <property fmtid="{D5CDD505-2E9C-101B-9397-08002B2CF9AE}" pid="14" name="Mendeley Recent Style Id 5_1">
    <vt:lpwstr>http://www.zotero.org/styles/ieee</vt:lpwstr>
  </property>
  <property fmtid="{D5CDD505-2E9C-101B-9397-08002B2CF9AE}" pid="15" name="Mendeley Recent Style Id 6_1">
    <vt:lpwstr>http://www.zotero.org/styles/modern-humanities-research-association</vt:lpwstr>
  </property>
  <property fmtid="{D5CDD505-2E9C-101B-9397-08002B2CF9AE}" pid="16" name="Mendeley Recent Style Id 7_1">
    <vt:lpwstr>http://www.zotero.org/styles/modern-language-association</vt:lpwstr>
  </property>
  <property fmtid="{D5CDD505-2E9C-101B-9397-08002B2CF9AE}" pid="17" name="Mendeley Recent Style Id 8_1">
    <vt:lpwstr>http://www.zotero.org/styles/nature</vt:lpwstr>
  </property>
  <property fmtid="{D5CDD505-2E9C-101B-9397-08002B2CF9AE}" pid="18" name="Mendeley Recent Style Id 9_1">
    <vt:lpwstr>http://www.zotero.org/styles/plos-computational-biology</vt:lpwstr>
  </property>
  <property fmtid="{D5CDD505-2E9C-101B-9397-08002B2CF9AE}" pid="19" name="Mendeley Recent Style Name 0_1">
    <vt:lpwstr>American Political Science Association</vt:lpwstr>
  </property>
  <property fmtid="{D5CDD505-2E9C-101B-9397-08002B2CF9AE}" pid="20" name="Mendeley Recent Style Name 1_1">
    <vt:lpwstr>American Psychological Association 6th edition</vt:lpwstr>
  </property>
  <property fmtid="{D5CDD505-2E9C-101B-9397-08002B2CF9AE}" pid="21" name="Mendeley Recent Style Name 2_1">
    <vt:lpwstr>American Sociological Association</vt:lpwstr>
  </property>
  <property fmtid="{D5CDD505-2E9C-101B-9397-08002B2CF9AE}" pid="22" name="Mendeley Recent Style Name 3_1">
    <vt:lpwstr>Chicago Manual of Style 16th edition (author-date)</vt:lpwstr>
  </property>
  <property fmtid="{D5CDD505-2E9C-101B-9397-08002B2CF9AE}" pid="23" name="Mendeley Recent Style Name 4_1">
    <vt:lpwstr>Harvard Reference format 1 (author-date)</vt:lpwstr>
  </property>
  <property fmtid="{D5CDD505-2E9C-101B-9397-08002B2CF9AE}" pid="24" name="Mendeley Recent Style Name 5_1">
    <vt:lpwstr>IEEE</vt:lpwstr>
  </property>
  <property fmtid="{D5CDD505-2E9C-101B-9397-08002B2CF9AE}" pid="25" name="Mendeley Recent Style Name 6_1">
    <vt:lpwstr>Modern Humanities Research Association 3rd edition (note with bibliography)</vt:lpwstr>
  </property>
  <property fmtid="{D5CDD505-2E9C-101B-9397-08002B2CF9AE}" pid="26" name="Mendeley Recent Style Name 7_1">
    <vt:lpwstr>Modern Language Association 7th edition</vt:lpwstr>
  </property>
  <property fmtid="{D5CDD505-2E9C-101B-9397-08002B2CF9AE}" pid="27" name="Mendeley Recent Style Name 8_1">
    <vt:lpwstr>Nature</vt:lpwstr>
  </property>
  <property fmtid="{D5CDD505-2E9C-101B-9397-08002B2CF9AE}" pid="28" name="Mendeley Recent Style Name 9_1">
    <vt:lpwstr>PLOS Computational Biology</vt:lpwstr>
  </property>
  <property fmtid="{D5CDD505-2E9C-101B-9397-08002B2CF9AE}" pid="29" name="Mendeley Unique User Id_1">
    <vt:lpwstr>53cab13b-ddb6-3388-9fb2-08554a5812e6</vt:lpwstr>
  </property>
  <property fmtid="{D5CDD505-2E9C-101B-9397-08002B2CF9AE}" pid="30" name="Mendeley_Bookmark_YBMQamVvPg_1">
    <vt:lpwstr>ADDIN CSL_CITATION {"citationItems": [{"id": "ITEM-1", "uris": ["http://www.mendeley.com/documents/?uuid=826c6baa-cfd7-4f24-8f4a-0e25a3736261"], "itemData": {"id": "ITEM-1", "volume": "141", "ISSN": "1873-2534", "publisher": "Elsevier B.V.", "title": "The</vt:lpwstr>
  </property>
  <property fmtid="{D5CDD505-2E9C-101B-9397-08002B2CF9AE}" pid="31" name="Mendeley_Bookmark_YBMQamVvPg_10">
    <vt:lpwstr>even out of eleven M. bovis proteins were identified as being highly immunogenic. All but one of these antigens were also identified when just the Hepitom predicted peptides were used, while only four of the seven were identified using the ProPred predict</vt:lpwstr>
  </property>
  <property fmtid="{D5CDD505-2E9C-101B-9397-08002B2CF9AE}" pid="32" name="Mendeley_Bookmark_YBMQamVvPg_11">
    <vt:lpwstr>ed peptides. In conclusion, we demonstrate that the Hepitom model is a useful pre-screening tool to select peptides for further immunogenicity studies in cattle without major impact on the identification of antigenic M. bovis proteins.", "DOI": "10.1016/j</vt:lpwstr>
  </property>
  <property fmtid="{D5CDD505-2E9C-101B-9397-08002B2CF9AE}" pid="33" name="Mendeley_Bookmark_YBMQamVvPg_12">
    <vt:lpwstr>.vetimm.2011.03.006", "page": "239-45", "issue": "3-4", "issued": {"date-parts": [["2011", "6", "15"]]}}}], "mendeley": {"plainTextFormattedCitation": "[28]", "previouslyFormattedCitation": "[28]", "formattedCitation": "[28]"}, "schema": "https://github.c</vt:lpwstr>
  </property>
  <property fmtid="{D5CDD505-2E9C-101B-9397-08002B2CF9AE}" pid="34" name="Mendeley_Bookmark_YBMQamVvPg_13">
    <vt:lpwstr>om/citation-style-language/schema/raw/master/csl-citation.json", "properties": {"noteIndex": 0}}</vt:lpwstr>
  </property>
  <property fmtid="{D5CDD505-2E9C-101B-9397-08002B2CF9AE}" pid="35" name="Mendeley_Bookmark_YBMQamVvPg_2">
    <vt:lpwstr> use of binding-prediction models to identify M. bovis-specific antigenic peptides for screening assays in bovine tuberculosis.", "PMID": "21440314", "type": "article-journal", "container-title": "Veterinary immunology and immunopathology", "author": [{"f</vt:lpwstr>
  </property>
  <property fmtid="{D5CDD505-2E9C-101B-9397-08002B2CF9AE}" pid="36" name="Mendeley_Bookmark_YBMQamVvPg_3">
    <vt:lpwstr>amily": "Jones", "given": "Gareth J", "parse-names": false, "suffix": "", "dropping-particle": "", "non-dropping-particle": ""}, {"family": "Bagaini", "given": "Francois", "parse-names": false, "suffix": "", "dropping-particle": "", "non-dropping-particle</vt:lpwstr>
  </property>
  <property fmtid="{D5CDD505-2E9C-101B-9397-08002B2CF9AE}" pid="37" name="Mendeley_Bookmark_YBMQamVvPg_4">
    <vt:lpwstr>": ""}, {"family": "Hewinson", "given": "R Glyn", "parse-names": false, "suffix": "", "dropping-particle": "", "non-dropping-particle": ""}, {"family": "Vordermeier", "given": "H Martin", "parse-names": false, "suffix": "", "dropping-particle": "", "non-d</vt:lpwstr>
  </property>
  <property fmtid="{D5CDD505-2E9C-101B-9397-08002B2CF9AE}" pid="38" name="Mendeley_Bookmark_YBMQamVvPg_5">
    <vt:lpwstr>ropping-particle": ""}], "abstract": "The identification of MHC class II-restricted antigenic peptides for inclusion into vaccines and/or as diagnostic test reagents for mycobacterial infections remains a high research priority. To expedite discovery of s</vt:lpwstr>
  </property>
  <property fmtid="{D5CDD505-2E9C-101B-9397-08002B2CF9AE}" pid="39" name="Mendeley_Bookmark_YBMQamVvPg_6">
    <vt:lpwstr>uch peptides, numerous bioinformatic tools have been developed to predict whether a given peptide is likely to form a stable binding interaction with MHC class II molecules. However, no prediction tool dedicated to the identification of bovine MHC (BoLA) </vt:lpwstr>
  </property>
  <property fmtid="{D5CDD505-2E9C-101B-9397-08002B2CF9AE}" pid="40" name="Mendeley_Bookmark_YBMQamVvPg_7">
    <vt:lpwstr>class II-restricted peptides is currently available. Using experimental immunogenicity data derived from the stimulation of whole blood of Mycobacterium bovis-infected cattle with 105 individual M. bovis-derived peptides, we have compared the ability of a</vt:lpwstr>
  </property>
  <property fmtid="{D5CDD505-2E9C-101B-9397-08002B2CF9AE}" pid="41" name="Mendeley_Bookmark_YBMQamVvPg_8">
    <vt:lpwstr> novel BoLA DRB3 structure-based prediction method (Hepitom) with the human MHC class II binding predictor model ProPred in predicting peptides that induce bovine T-cell activation. When a stringent cut off for considering peptide antigenicity was applied</vt:lpwstr>
  </property>
  <property fmtid="{D5CDD505-2E9C-101B-9397-08002B2CF9AE}" pid="42" name="Mendeley_Bookmark_YBMQamVvPg_9">
    <vt:lpwstr>, the sensitivities of Hepitom and ProPred in detecting immunogenic peptides were 62% and 77%, respectively. In contrast, the Hepitom model showed greater specificity, with values of 66% and 34% for Hepitom and ProPred, respectively. Using all peptides, s</vt:lpwstr>
  </property>
  <property fmtid="{D5CDD505-2E9C-101B-9397-08002B2CF9AE}" pid="43" name="Mendeley_Bookmark_zSHCWiXxRv_1">
    <vt:lpwstr>ADDIN CSL_CITATION {"citationItems": [{"id": "ITEM-1", "uris": ["http://www.mendeley.com/documents/?uuid=66b4e240-998c-4a4a-aad9-b3fd45783d96"], "itemData": {"id": "ITEM-1", "volume": "56", "ISSN": "1865-1674", "author": [{"family": "Vordermeier", "given"</vt:lpwstr>
  </property>
  <property fmtid="{D5CDD505-2E9C-101B-9397-08002B2CF9AE}" pid="44" name="Mendeley_Bookmark_zSHCWiXxRv_2">
    <vt:lpwstr>: "M", "parse-names": false, "suffix": "", "dropping-particle": "", "non-dropping-particle": ""}, {"family": "Gordon", "given": "S", "parse-names": false, "suffix": "", "dropping-particle": "V", "non-dropping-particle": ""}, {"family": "Hewinson", "given"</vt:lpwstr>
  </property>
  <property fmtid="{D5CDD505-2E9C-101B-9397-08002B2CF9AE}" pid="45" name="Mendeley_Bookmark_zSHCWiXxRv_3">
    <vt:lpwstr>: "a R G", "parse-names": false, "suffix": "", "dropping-particle": "", "non-dropping-particle": ""}], "title": "Antigen mining to define Mycobacterium bovis antigens for the differential diagnosis of vaccinated and infected animals: A VLA perspective.", </vt:lpwstr>
  </property>
  <property fmtid="{D5CDD505-2E9C-101B-9397-08002B2CF9AE}" pid="46" name="Mendeley_Bookmark_zSHCWiXxRv_4">
    <vt:lpwstr>"PMID": "19413883", "type": "article-journal", "container-title": "Transboundary and emerging diseases", "abstract": "The urgency for new and improved cattle vaccines and diagnostic reagents has been acknowledged by the UK Government, and development of c</vt:lpwstr>
  </property>
  <property fmtid="{D5CDD505-2E9C-101B-9397-08002B2CF9AE}" pid="47" name="Mendeley_Bookmark_zSHCWiXxRv_5">
    <vt:lpwstr>attle vaccine is a research priority. Significant progress has been made to develop specific antigens that allow the differentiation of bacille Calmette-Guerin (BCG) vaccinated and M. bovis-infected cattle [diagnosis of infected from vaccinated individual</vt:lpwstr>
  </property>
  <property fmtid="{D5CDD505-2E9C-101B-9397-08002B2CF9AE}" pid="48" name="Mendeley_Bookmark_zSHCWiXxRv_6">
    <vt:lpwstr>s (DIVA) test]. This progress has been greatly facilitated by the completion of the genome sequences of Mycobacterium tuberculosis, M. bovis and BCG Pasteur. In this study, we describe how we applied this knowledge, through comparative genome and transcri</vt:lpwstr>
  </property>
  <property fmtid="{D5CDD505-2E9C-101B-9397-08002B2CF9AE}" pid="49" name="Mendeley_Bookmark_zSHCWiXxRv_7">
    <vt:lpwstr>ptome analysis, to define DIVA antigens that complemented the prototype DIVA antigens ESAT-6 and CFP-10 by increasing their test sensitivity. In addition, we draw general conclusions from our experience, and discuss potential future approaches in this are</vt:lpwstr>
  </property>
  <property fmtid="{D5CDD505-2E9C-101B-9397-08002B2CF9AE}" pid="50" name="Mendeley_Bookmark_zSHCWiXxRv_8">
    <vt:lpwstr>a.", "DOI": "10.1111/j.1865-1682.2009.01070.x", "page": "240-7", "issue": "6-7", "issued": {"date-parts": [["2009", "8"]]}}}], "mendeley": {"plainTextFormattedCitation": "[1]", "previouslyFormattedCitation": "[1]", "formattedCitation": "[1]"}, "schema": "</vt:lpwstr>
  </property>
  <property fmtid="{D5CDD505-2E9C-101B-9397-08002B2CF9AE}" pid="51" name="Mendeley_Bookmark_zSHCWiXxRv_9">
    <vt:lpwstr>https://github.com/citation-style-language/schema/raw/master/csl-citation.json", "properties": {"noteIndex": 0}}</vt:lpwstr>
  </property>
  <property fmtid="{D5CDD505-2E9C-101B-9397-08002B2CF9AE}" pid="52" name="Mendeley_Bookmark_zpOoqJAPDG_1">
    <vt:lpwstr>ADDIN CSL_CITATION {"citationItems": [{"id": "ITEM-1", "uris": ["http://www.mendeley.com/documents/?uuid=82aa354d-8325-402a-bd38-208d9c373442"], "itemData": {"title": "OWA-PSSM \u2014 A position specific scoring matrix based method integrated with OWA wei</vt:lpwstr>
  </property>
  <property fmtid="{D5CDD505-2E9C-101B-9397-08002B2CF9AE}" pid="53" name="Mendeley_Bookmark_zpOoqJAPDG_2">
    <vt:lpwstr>ghts for HLA-DR peptide binding prediction", "id": "ITEM-1", "type": "article-journal", "container-title": "2012 IEEE International Conference on Bioinformatics and Biomedicine", "ISBN": "978-1-4673-2560-8", "DOI": "10.1109/BIBM.2012.6392705", "page": "1-</vt:lpwstr>
  </property>
  <property fmtid="{D5CDD505-2E9C-101B-9397-08002B2CF9AE}" pid="54" name="Mendeley_Bookmark_zpOoqJAPDG_3">
    <vt:lpwstr>4", "publisher": "Ieee", "author": [{"family": "Shen", "given": "Wen-Jun", "parse-names": false, "suffix": "", "dropping-particle": "", "non-dropping-particle": ""}, {"family": "Wong", "given": "Hau-San", "parse-names": false, "suffix": "", "dropping-part</vt:lpwstr>
  </property>
  <property fmtid="{D5CDD505-2E9C-101B-9397-08002B2CF9AE}" pid="55" name="Mendeley_Bookmark_zpOoqJAPDG_4">
    <vt:lpwstr>icle": "", "non-dropping-particle": ""}], "issued": {"date-parts": [["2012", "10"]]}}}], "mendeley": {"plainTextFormattedCitation": "[47]", "previouslyFormattedCitation": "[47]", "formattedCitation": "[47]"}, "schema": "https://github.com/citation-style-l</vt:lpwstr>
  </property>
  <property fmtid="{D5CDD505-2E9C-101B-9397-08002B2CF9AE}" pid="56" name="Mendeley_Bookmark_zpOoqJAPDG_5">
    <vt:lpwstr>anguage/schema/raw/master/csl-citation.json", "properties": {"noteIndex": 0}}</vt:lpwstr>
  </property>
  <property fmtid="{D5CDD505-2E9C-101B-9397-08002B2CF9AE}" pid="57" name="ScaleCrop">
    <vt:bool>0</vt:bool>
  </property>
  <property fmtid="{D5CDD505-2E9C-101B-9397-08002B2CF9AE}" pid="58" name="ShareDoc">
    <vt:bool>0</vt:bool>
  </property>
</Properties>
</file>